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5A3D38"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5A3D38">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0E8D6B8C" w14:textId="0C2F4671" w:rsidR="002070A9" w:rsidRDefault="00924E40" w:rsidP="005A3D38">
      <w:pPr>
        <w:spacing w:before="240"/>
        <w:jc w:val="center"/>
        <w:rPr>
          <w:b/>
          <w:color w:val="2E74B5"/>
          <w:sz w:val="40"/>
          <w:szCs w:val="40"/>
        </w:rPr>
      </w:pPr>
      <w:r>
        <w:rPr>
          <w:b/>
          <w:color w:val="2E74B5"/>
          <w:sz w:val="40"/>
          <w:szCs w:val="40"/>
        </w:rPr>
        <w:t xml:space="preserve">LOKALNA GRUPA DZIAŁANIA </w:t>
      </w:r>
      <w:r w:rsidR="005A3D38">
        <w:rPr>
          <w:b/>
          <w:color w:val="2E74B5"/>
          <w:sz w:val="40"/>
          <w:szCs w:val="40"/>
        </w:rPr>
        <w:t>STOWARZYSZENIE „WSPÓLNIE DLA PRZYSZŁOŚCI”</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67D57C1C" w:rsidR="002070A9" w:rsidRDefault="005A3D38">
      <w:pPr>
        <w:pBdr>
          <w:top w:val="nil"/>
          <w:left w:val="nil"/>
          <w:bottom w:val="nil"/>
          <w:right w:val="nil"/>
          <w:between w:val="nil"/>
        </w:pBdr>
        <w:spacing w:after="120"/>
        <w:jc w:val="center"/>
        <w:rPr>
          <w:color w:val="2E74B5"/>
          <w:sz w:val="32"/>
          <w:szCs w:val="32"/>
        </w:rPr>
      </w:pPr>
      <w:r w:rsidRPr="005A3D38">
        <w:rPr>
          <w:color w:val="2E74B5"/>
          <w:sz w:val="32"/>
          <w:szCs w:val="32"/>
        </w:rPr>
        <w:t>Czermin</w:t>
      </w:r>
      <w:r w:rsidR="00924E40" w:rsidRPr="005A3D38">
        <w:rPr>
          <w:color w:val="2E74B5"/>
          <w:sz w:val="32"/>
          <w:szCs w:val="32"/>
        </w:rPr>
        <w:t xml:space="preserve">, </w:t>
      </w:r>
      <w:r w:rsidRPr="005A3D38">
        <w:rPr>
          <w:color w:val="2E74B5"/>
          <w:sz w:val="32"/>
          <w:szCs w:val="32"/>
        </w:rPr>
        <w:t>październik</w:t>
      </w:r>
      <w:r w:rsidR="00924E40" w:rsidRPr="005A3D38">
        <w:rPr>
          <w:color w:val="2E74B5"/>
          <w:sz w:val="32"/>
          <w:szCs w:val="32"/>
        </w:rPr>
        <w:t xml:space="preserve"> 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2D152809"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CD12D0">
              <w:rPr>
                <w:webHidden/>
              </w:rPr>
              <w:t>3</w:t>
            </w:r>
            <w:r>
              <w:rPr>
                <w:webHidden/>
              </w:rPr>
              <w:fldChar w:fldCharType="end"/>
            </w:r>
          </w:hyperlink>
        </w:p>
        <w:p w14:paraId="68ECE633" w14:textId="343969B7" w:rsidR="009975E6" w:rsidRDefault="00124F55">
          <w:pPr>
            <w:pStyle w:val="Spistreci1"/>
            <w:rPr>
              <w:rFonts w:asciiTheme="minorHAnsi" w:eastAsiaTheme="minorEastAsia" w:hAnsiTheme="minorHAnsi" w:cstheme="minorBidi"/>
              <w:b w:val="0"/>
              <w:sz w:val="22"/>
              <w:szCs w:val="22"/>
            </w:rPr>
          </w:pPr>
          <w:hyperlink w:anchor="_Toc176941415" w:history="1">
            <w:r w:rsidR="009975E6" w:rsidRPr="00A47314">
              <w:rPr>
                <w:rStyle w:val="Hipercze"/>
                <w:rFonts w:cs="Calibri"/>
              </w:rPr>
              <w:t>II.</w:t>
            </w:r>
            <w:r w:rsidR="009975E6">
              <w:rPr>
                <w:rFonts w:asciiTheme="minorHAnsi" w:eastAsiaTheme="minorEastAsia" w:hAnsiTheme="minorHAnsi" w:cstheme="minorBidi"/>
                <w:b w:val="0"/>
                <w:sz w:val="22"/>
                <w:szCs w:val="22"/>
              </w:rPr>
              <w:tab/>
            </w:r>
            <w:r w:rsidR="009975E6" w:rsidRPr="00A47314">
              <w:rPr>
                <w:rStyle w:val="Hipercze"/>
                <w:rFonts w:cs="Calibri"/>
              </w:rPr>
              <w:t>Podstawowe informacje o naborze</w:t>
            </w:r>
            <w:r w:rsidR="009975E6">
              <w:rPr>
                <w:webHidden/>
              </w:rPr>
              <w:tab/>
            </w:r>
            <w:r w:rsidR="009975E6">
              <w:rPr>
                <w:webHidden/>
              </w:rPr>
              <w:fldChar w:fldCharType="begin"/>
            </w:r>
            <w:r w:rsidR="009975E6">
              <w:rPr>
                <w:webHidden/>
              </w:rPr>
              <w:instrText xml:space="preserve"> PAGEREF _Toc176941415 \h </w:instrText>
            </w:r>
            <w:r w:rsidR="009975E6">
              <w:rPr>
                <w:webHidden/>
              </w:rPr>
            </w:r>
            <w:r w:rsidR="009975E6">
              <w:rPr>
                <w:webHidden/>
              </w:rPr>
              <w:fldChar w:fldCharType="separate"/>
            </w:r>
            <w:r w:rsidR="00CD12D0">
              <w:rPr>
                <w:webHidden/>
              </w:rPr>
              <w:t>12</w:t>
            </w:r>
            <w:r w:rsidR="009975E6">
              <w:rPr>
                <w:webHidden/>
              </w:rPr>
              <w:fldChar w:fldCharType="end"/>
            </w:r>
          </w:hyperlink>
        </w:p>
        <w:p w14:paraId="6348186E" w14:textId="3C5F4B25" w:rsidR="009975E6" w:rsidRDefault="00124F55">
          <w:pPr>
            <w:pStyle w:val="Spistreci2"/>
            <w:rPr>
              <w:rFonts w:asciiTheme="minorHAnsi" w:hAnsiTheme="minorHAnsi" w:cstheme="minorBidi"/>
              <w:noProof/>
            </w:rPr>
          </w:pPr>
          <w:hyperlink w:anchor="_Toc176941416"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Instytucja organizująca nabór i dane kontaktowe</w:t>
            </w:r>
            <w:r w:rsidR="009975E6">
              <w:rPr>
                <w:noProof/>
                <w:webHidden/>
              </w:rPr>
              <w:tab/>
            </w:r>
            <w:r w:rsidR="009975E6">
              <w:rPr>
                <w:noProof/>
                <w:webHidden/>
              </w:rPr>
              <w:fldChar w:fldCharType="begin"/>
            </w:r>
            <w:r w:rsidR="009975E6">
              <w:rPr>
                <w:noProof/>
                <w:webHidden/>
              </w:rPr>
              <w:instrText xml:space="preserve"> PAGEREF _Toc176941416 \h </w:instrText>
            </w:r>
            <w:r w:rsidR="009975E6">
              <w:rPr>
                <w:noProof/>
                <w:webHidden/>
              </w:rPr>
            </w:r>
            <w:r w:rsidR="009975E6">
              <w:rPr>
                <w:noProof/>
                <w:webHidden/>
              </w:rPr>
              <w:fldChar w:fldCharType="separate"/>
            </w:r>
            <w:r w:rsidR="00CD12D0">
              <w:rPr>
                <w:noProof/>
                <w:webHidden/>
              </w:rPr>
              <w:t>12</w:t>
            </w:r>
            <w:r w:rsidR="009975E6">
              <w:rPr>
                <w:noProof/>
                <w:webHidden/>
              </w:rPr>
              <w:fldChar w:fldCharType="end"/>
            </w:r>
          </w:hyperlink>
        </w:p>
        <w:p w14:paraId="5FDE0EFF" w14:textId="2DC610D0" w:rsidR="009975E6" w:rsidRDefault="00124F55">
          <w:pPr>
            <w:pStyle w:val="Spistreci2"/>
            <w:rPr>
              <w:rFonts w:asciiTheme="minorHAnsi" w:hAnsiTheme="minorHAnsi" w:cstheme="minorBidi"/>
              <w:noProof/>
            </w:rPr>
          </w:pPr>
          <w:hyperlink w:anchor="_Toc176941417"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Typy projektów przewidzianych do wsparcia</w:t>
            </w:r>
            <w:r w:rsidR="009975E6">
              <w:rPr>
                <w:noProof/>
                <w:webHidden/>
              </w:rPr>
              <w:tab/>
            </w:r>
            <w:r w:rsidR="009975E6">
              <w:rPr>
                <w:noProof/>
                <w:webHidden/>
              </w:rPr>
              <w:fldChar w:fldCharType="begin"/>
            </w:r>
            <w:r w:rsidR="009975E6">
              <w:rPr>
                <w:noProof/>
                <w:webHidden/>
              </w:rPr>
              <w:instrText xml:space="preserve"> PAGEREF _Toc176941417 \h </w:instrText>
            </w:r>
            <w:r w:rsidR="009975E6">
              <w:rPr>
                <w:noProof/>
                <w:webHidden/>
              </w:rPr>
            </w:r>
            <w:r w:rsidR="009975E6">
              <w:rPr>
                <w:noProof/>
                <w:webHidden/>
              </w:rPr>
              <w:fldChar w:fldCharType="separate"/>
            </w:r>
            <w:r w:rsidR="00CD12D0">
              <w:rPr>
                <w:noProof/>
                <w:webHidden/>
              </w:rPr>
              <w:t>12</w:t>
            </w:r>
            <w:r w:rsidR="009975E6">
              <w:rPr>
                <w:noProof/>
                <w:webHidden/>
              </w:rPr>
              <w:fldChar w:fldCharType="end"/>
            </w:r>
          </w:hyperlink>
        </w:p>
        <w:p w14:paraId="64F24113" w14:textId="38B9E5BB" w:rsidR="009975E6" w:rsidRDefault="00124F55">
          <w:pPr>
            <w:pStyle w:val="Spistreci2"/>
            <w:rPr>
              <w:rFonts w:asciiTheme="minorHAnsi" w:hAnsiTheme="minorHAnsi" w:cstheme="minorBidi"/>
              <w:noProof/>
            </w:rPr>
          </w:pPr>
          <w:hyperlink w:anchor="_Toc176941418"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Podmioty uprawnione do ubiegania się o wsparcie</w:t>
            </w:r>
            <w:r w:rsidR="009975E6">
              <w:rPr>
                <w:noProof/>
                <w:webHidden/>
              </w:rPr>
              <w:tab/>
            </w:r>
            <w:r w:rsidR="009975E6">
              <w:rPr>
                <w:noProof/>
                <w:webHidden/>
              </w:rPr>
              <w:fldChar w:fldCharType="begin"/>
            </w:r>
            <w:r w:rsidR="009975E6">
              <w:rPr>
                <w:noProof/>
                <w:webHidden/>
              </w:rPr>
              <w:instrText xml:space="preserve"> PAGEREF _Toc176941418 \h </w:instrText>
            </w:r>
            <w:r w:rsidR="009975E6">
              <w:rPr>
                <w:noProof/>
                <w:webHidden/>
              </w:rPr>
            </w:r>
            <w:r w:rsidR="009975E6">
              <w:rPr>
                <w:noProof/>
                <w:webHidden/>
              </w:rPr>
              <w:fldChar w:fldCharType="separate"/>
            </w:r>
            <w:r w:rsidR="00CD12D0">
              <w:rPr>
                <w:noProof/>
                <w:webHidden/>
              </w:rPr>
              <w:t>16</w:t>
            </w:r>
            <w:r w:rsidR="009975E6">
              <w:rPr>
                <w:noProof/>
                <w:webHidden/>
              </w:rPr>
              <w:fldChar w:fldCharType="end"/>
            </w:r>
          </w:hyperlink>
        </w:p>
        <w:p w14:paraId="3CB75A15" w14:textId="6F668936" w:rsidR="009975E6" w:rsidRDefault="00124F55">
          <w:pPr>
            <w:pStyle w:val="Spistreci2"/>
            <w:rPr>
              <w:rFonts w:asciiTheme="minorHAnsi" w:hAnsiTheme="minorHAnsi" w:cstheme="minorBidi"/>
              <w:noProof/>
            </w:rPr>
          </w:pPr>
          <w:hyperlink w:anchor="_Toc176941419"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Okres trwania naboru</w:t>
            </w:r>
            <w:r w:rsidR="009975E6">
              <w:rPr>
                <w:noProof/>
                <w:webHidden/>
              </w:rPr>
              <w:tab/>
            </w:r>
            <w:r w:rsidR="009975E6">
              <w:rPr>
                <w:noProof/>
                <w:webHidden/>
              </w:rPr>
              <w:fldChar w:fldCharType="begin"/>
            </w:r>
            <w:r w:rsidR="009975E6">
              <w:rPr>
                <w:noProof/>
                <w:webHidden/>
              </w:rPr>
              <w:instrText xml:space="preserve"> PAGEREF _Toc176941419 \h </w:instrText>
            </w:r>
            <w:r w:rsidR="009975E6">
              <w:rPr>
                <w:noProof/>
                <w:webHidden/>
              </w:rPr>
            </w:r>
            <w:r w:rsidR="009975E6">
              <w:rPr>
                <w:noProof/>
                <w:webHidden/>
              </w:rPr>
              <w:fldChar w:fldCharType="separate"/>
            </w:r>
            <w:r w:rsidR="00CD12D0">
              <w:rPr>
                <w:noProof/>
                <w:webHidden/>
              </w:rPr>
              <w:t>16</w:t>
            </w:r>
            <w:r w:rsidR="009975E6">
              <w:rPr>
                <w:noProof/>
                <w:webHidden/>
              </w:rPr>
              <w:fldChar w:fldCharType="end"/>
            </w:r>
          </w:hyperlink>
        </w:p>
        <w:p w14:paraId="6107ABD9" w14:textId="62434115" w:rsidR="009975E6" w:rsidRDefault="00124F55">
          <w:pPr>
            <w:pStyle w:val="Spistreci2"/>
            <w:rPr>
              <w:rFonts w:asciiTheme="minorHAnsi" w:hAnsiTheme="minorHAnsi" w:cstheme="minorBidi"/>
              <w:noProof/>
            </w:rPr>
          </w:pPr>
          <w:hyperlink w:anchor="_Toc176941420"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Okres realizacji projektu</w:t>
            </w:r>
            <w:r w:rsidR="009975E6">
              <w:rPr>
                <w:noProof/>
                <w:webHidden/>
              </w:rPr>
              <w:tab/>
            </w:r>
            <w:r w:rsidR="009975E6">
              <w:rPr>
                <w:noProof/>
                <w:webHidden/>
              </w:rPr>
              <w:fldChar w:fldCharType="begin"/>
            </w:r>
            <w:r w:rsidR="009975E6">
              <w:rPr>
                <w:noProof/>
                <w:webHidden/>
              </w:rPr>
              <w:instrText xml:space="preserve"> PAGEREF _Toc176941420 \h </w:instrText>
            </w:r>
            <w:r w:rsidR="009975E6">
              <w:rPr>
                <w:noProof/>
                <w:webHidden/>
              </w:rPr>
            </w:r>
            <w:r w:rsidR="009975E6">
              <w:rPr>
                <w:noProof/>
                <w:webHidden/>
              </w:rPr>
              <w:fldChar w:fldCharType="separate"/>
            </w:r>
            <w:r w:rsidR="00CD12D0">
              <w:rPr>
                <w:noProof/>
                <w:webHidden/>
              </w:rPr>
              <w:t>17</w:t>
            </w:r>
            <w:r w:rsidR="009975E6">
              <w:rPr>
                <w:noProof/>
                <w:webHidden/>
              </w:rPr>
              <w:fldChar w:fldCharType="end"/>
            </w:r>
          </w:hyperlink>
        </w:p>
        <w:p w14:paraId="7E5883F6" w14:textId="3739EC78" w:rsidR="009975E6" w:rsidRDefault="00124F55">
          <w:pPr>
            <w:pStyle w:val="Spistreci2"/>
            <w:rPr>
              <w:rFonts w:asciiTheme="minorHAnsi" w:hAnsiTheme="minorHAnsi" w:cstheme="minorBidi"/>
              <w:noProof/>
            </w:rPr>
          </w:pPr>
          <w:hyperlink w:anchor="_Toc176941421"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Wykluczenia</w:t>
            </w:r>
            <w:r w:rsidR="009975E6">
              <w:rPr>
                <w:noProof/>
                <w:webHidden/>
              </w:rPr>
              <w:tab/>
            </w:r>
            <w:r w:rsidR="009975E6">
              <w:rPr>
                <w:noProof/>
                <w:webHidden/>
              </w:rPr>
              <w:fldChar w:fldCharType="begin"/>
            </w:r>
            <w:r w:rsidR="009975E6">
              <w:rPr>
                <w:noProof/>
                <w:webHidden/>
              </w:rPr>
              <w:instrText xml:space="preserve"> PAGEREF _Toc176941421 \h </w:instrText>
            </w:r>
            <w:r w:rsidR="009975E6">
              <w:rPr>
                <w:noProof/>
                <w:webHidden/>
              </w:rPr>
            </w:r>
            <w:r w:rsidR="009975E6">
              <w:rPr>
                <w:noProof/>
                <w:webHidden/>
              </w:rPr>
              <w:fldChar w:fldCharType="separate"/>
            </w:r>
            <w:r w:rsidR="00CD12D0">
              <w:rPr>
                <w:noProof/>
                <w:webHidden/>
              </w:rPr>
              <w:t>17</w:t>
            </w:r>
            <w:r w:rsidR="009975E6">
              <w:rPr>
                <w:noProof/>
                <w:webHidden/>
              </w:rPr>
              <w:fldChar w:fldCharType="end"/>
            </w:r>
          </w:hyperlink>
        </w:p>
        <w:p w14:paraId="24CB764B" w14:textId="124F35DB" w:rsidR="009975E6" w:rsidRDefault="00124F55">
          <w:pPr>
            <w:pStyle w:val="Spistreci2"/>
            <w:rPr>
              <w:rFonts w:asciiTheme="minorHAnsi" w:hAnsiTheme="minorHAnsi" w:cstheme="minorBidi"/>
              <w:noProof/>
            </w:rPr>
          </w:pPr>
          <w:hyperlink w:anchor="_Toc176941422" w:history="1">
            <w:r w:rsidR="009975E6" w:rsidRPr="00A47314">
              <w:rPr>
                <w:rStyle w:val="Hipercze"/>
                <w:rFonts w:eastAsia="Calibri" w:cs="Calibri"/>
                <w:noProof/>
              </w:rPr>
              <w:t>G.</w:t>
            </w:r>
            <w:r w:rsidR="009975E6">
              <w:rPr>
                <w:rFonts w:asciiTheme="minorHAnsi" w:hAnsiTheme="minorHAnsi" w:cstheme="minorBidi"/>
                <w:noProof/>
              </w:rPr>
              <w:tab/>
            </w:r>
            <w:r w:rsidR="009975E6" w:rsidRPr="00A47314">
              <w:rPr>
                <w:rStyle w:val="Hipercze"/>
                <w:rFonts w:eastAsia="Calibri" w:cs="Calibri"/>
                <w:noProof/>
              </w:rPr>
              <w:t>Wartości oraz intensywność wsparcia</w:t>
            </w:r>
            <w:r w:rsidR="009975E6">
              <w:rPr>
                <w:noProof/>
                <w:webHidden/>
              </w:rPr>
              <w:tab/>
            </w:r>
            <w:r w:rsidR="009975E6">
              <w:rPr>
                <w:noProof/>
                <w:webHidden/>
              </w:rPr>
              <w:fldChar w:fldCharType="begin"/>
            </w:r>
            <w:r w:rsidR="009975E6">
              <w:rPr>
                <w:noProof/>
                <w:webHidden/>
              </w:rPr>
              <w:instrText xml:space="preserve"> PAGEREF _Toc176941422 \h </w:instrText>
            </w:r>
            <w:r w:rsidR="009975E6">
              <w:rPr>
                <w:noProof/>
                <w:webHidden/>
              </w:rPr>
            </w:r>
            <w:r w:rsidR="009975E6">
              <w:rPr>
                <w:noProof/>
                <w:webHidden/>
              </w:rPr>
              <w:fldChar w:fldCharType="separate"/>
            </w:r>
            <w:r w:rsidR="00CD12D0">
              <w:rPr>
                <w:noProof/>
                <w:webHidden/>
              </w:rPr>
              <w:t>18</w:t>
            </w:r>
            <w:r w:rsidR="009975E6">
              <w:rPr>
                <w:noProof/>
                <w:webHidden/>
              </w:rPr>
              <w:fldChar w:fldCharType="end"/>
            </w:r>
          </w:hyperlink>
        </w:p>
        <w:p w14:paraId="2C85F3E3" w14:textId="0883F70B" w:rsidR="009975E6" w:rsidRDefault="00124F55">
          <w:pPr>
            <w:pStyle w:val="Spistreci2"/>
            <w:rPr>
              <w:rFonts w:asciiTheme="minorHAnsi" w:hAnsiTheme="minorHAnsi" w:cstheme="minorBidi"/>
              <w:noProof/>
            </w:rPr>
          </w:pPr>
          <w:hyperlink w:anchor="_Toc176941423" w:history="1">
            <w:r w:rsidR="009975E6" w:rsidRPr="00A47314">
              <w:rPr>
                <w:rStyle w:val="Hipercze"/>
                <w:rFonts w:eastAsia="Calibri" w:cs="Calibri"/>
                <w:noProof/>
              </w:rPr>
              <w:t>G.1.</w:t>
            </w:r>
            <w:r w:rsidR="009975E6">
              <w:rPr>
                <w:rFonts w:asciiTheme="minorHAnsi" w:hAnsiTheme="minorHAnsi" w:cstheme="minorBidi"/>
                <w:noProof/>
              </w:rPr>
              <w:tab/>
            </w:r>
            <w:r w:rsidR="009975E6" w:rsidRPr="00A47314">
              <w:rPr>
                <w:rStyle w:val="Hipercze"/>
                <w:rFonts w:eastAsia="Calibri" w:cs="Calibri"/>
                <w:noProof/>
              </w:rPr>
              <w:t>Infrastruktura pomocnicza</w:t>
            </w:r>
            <w:r w:rsidR="009975E6">
              <w:rPr>
                <w:noProof/>
                <w:webHidden/>
              </w:rPr>
              <w:tab/>
            </w:r>
            <w:r w:rsidR="009975E6">
              <w:rPr>
                <w:noProof/>
                <w:webHidden/>
              </w:rPr>
              <w:fldChar w:fldCharType="begin"/>
            </w:r>
            <w:r w:rsidR="009975E6">
              <w:rPr>
                <w:noProof/>
                <w:webHidden/>
              </w:rPr>
              <w:instrText xml:space="preserve"> PAGEREF _Toc176941423 \h </w:instrText>
            </w:r>
            <w:r w:rsidR="009975E6">
              <w:rPr>
                <w:noProof/>
                <w:webHidden/>
              </w:rPr>
            </w:r>
            <w:r w:rsidR="009975E6">
              <w:rPr>
                <w:noProof/>
                <w:webHidden/>
              </w:rPr>
              <w:fldChar w:fldCharType="separate"/>
            </w:r>
            <w:r w:rsidR="00CD12D0">
              <w:rPr>
                <w:noProof/>
                <w:webHidden/>
              </w:rPr>
              <w:t>20</w:t>
            </w:r>
            <w:r w:rsidR="009975E6">
              <w:rPr>
                <w:noProof/>
                <w:webHidden/>
              </w:rPr>
              <w:fldChar w:fldCharType="end"/>
            </w:r>
          </w:hyperlink>
        </w:p>
        <w:p w14:paraId="29EA20BC" w14:textId="4FD0784F" w:rsidR="009975E6" w:rsidRDefault="00124F55">
          <w:pPr>
            <w:pStyle w:val="Spistreci2"/>
            <w:rPr>
              <w:rFonts w:asciiTheme="minorHAnsi" w:hAnsiTheme="minorHAnsi" w:cstheme="minorBidi"/>
              <w:noProof/>
            </w:rPr>
          </w:pPr>
          <w:hyperlink w:anchor="_Toc176941424" w:history="1">
            <w:r w:rsidR="009975E6" w:rsidRPr="00A47314">
              <w:rPr>
                <w:rStyle w:val="Hipercze"/>
                <w:rFonts w:eastAsia="Calibri" w:cs="Calibri"/>
                <w:noProof/>
              </w:rPr>
              <w:t>H.</w:t>
            </w:r>
            <w:r w:rsidR="009975E6">
              <w:rPr>
                <w:rFonts w:asciiTheme="minorHAnsi" w:hAnsiTheme="minorHAnsi" w:cstheme="minorBidi"/>
                <w:noProof/>
              </w:rPr>
              <w:tab/>
            </w:r>
            <w:r w:rsidR="009975E6" w:rsidRPr="00A47314">
              <w:rPr>
                <w:rStyle w:val="Hipercze"/>
                <w:rFonts w:eastAsia="Calibri" w:cs="Calibri"/>
                <w:noProof/>
              </w:rPr>
              <w:t>Ogólne zasady dotyczące naboru oraz realizacji projektów</w:t>
            </w:r>
            <w:r w:rsidR="009975E6">
              <w:rPr>
                <w:noProof/>
                <w:webHidden/>
              </w:rPr>
              <w:tab/>
            </w:r>
            <w:r w:rsidR="009975E6">
              <w:rPr>
                <w:noProof/>
                <w:webHidden/>
              </w:rPr>
              <w:fldChar w:fldCharType="begin"/>
            </w:r>
            <w:r w:rsidR="009975E6">
              <w:rPr>
                <w:noProof/>
                <w:webHidden/>
              </w:rPr>
              <w:instrText xml:space="preserve"> PAGEREF _Toc176941424 \h </w:instrText>
            </w:r>
            <w:r w:rsidR="009975E6">
              <w:rPr>
                <w:noProof/>
                <w:webHidden/>
              </w:rPr>
            </w:r>
            <w:r w:rsidR="009975E6">
              <w:rPr>
                <w:noProof/>
                <w:webHidden/>
              </w:rPr>
              <w:fldChar w:fldCharType="separate"/>
            </w:r>
            <w:r w:rsidR="00CD12D0">
              <w:rPr>
                <w:noProof/>
                <w:webHidden/>
              </w:rPr>
              <w:t>21</w:t>
            </w:r>
            <w:r w:rsidR="009975E6">
              <w:rPr>
                <w:noProof/>
                <w:webHidden/>
              </w:rPr>
              <w:fldChar w:fldCharType="end"/>
            </w:r>
          </w:hyperlink>
        </w:p>
        <w:p w14:paraId="15F69AE6" w14:textId="163C474B" w:rsidR="009975E6" w:rsidRDefault="00124F55">
          <w:pPr>
            <w:pStyle w:val="Spistreci2"/>
            <w:rPr>
              <w:rFonts w:asciiTheme="minorHAnsi" w:hAnsiTheme="minorHAnsi" w:cstheme="minorBidi"/>
              <w:noProof/>
            </w:rPr>
          </w:pPr>
          <w:hyperlink w:anchor="_Toc176941425" w:history="1">
            <w:r w:rsidR="009975E6" w:rsidRPr="00A47314">
              <w:rPr>
                <w:rStyle w:val="Hipercze"/>
                <w:rFonts w:eastAsia="Calibri" w:cs="Calibri"/>
                <w:noProof/>
              </w:rPr>
              <w:t>I.</w:t>
            </w:r>
            <w:r w:rsidR="009975E6">
              <w:rPr>
                <w:rFonts w:asciiTheme="minorHAnsi" w:hAnsiTheme="minorHAnsi" w:cstheme="minorBidi"/>
                <w:noProof/>
              </w:rPr>
              <w:tab/>
            </w:r>
            <w:r w:rsidR="009975E6" w:rsidRPr="00A47314">
              <w:rPr>
                <w:rStyle w:val="Hipercze"/>
                <w:rFonts w:eastAsia="Calibri" w:cs="Calibri"/>
                <w:noProof/>
              </w:rPr>
              <w:t>Kwalifikowalność wydatków</w:t>
            </w:r>
            <w:r w:rsidR="009975E6">
              <w:rPr>
                <w:noProof/>
                <w:webHidden/>
              </w:rPr>
              <w:tab/>
            </w:r>
            <w:r w:rsidR="009975E6">
              <w:rPr>
                <w:noProof/>
                <w:webHidden/>
              </w:rPr>
              <w:fldChar w:fldCharType="begin"/>
            </w:r>
            <w:r w:rsidR="009975E6">
              <w:rPr>
                <w:noProof/>
                <w:webHidden/>
              </w:rPr>
              <w:instrText xml:space="preserve"> PAGEREF _Toc176941425 \h </w:instrText>
            </w:r>
            <w:r w:rsidR="009975E6">
              <w:rPr>
                <w:noProof/>
                <w:webHidden/>
              </w:rPr>
            </w:r>
            <w:r w:rsidR="009975E6">
              <w:rPr>
                <w:noProof/>
                <w:webHidden/>
              </w:rPr>
              <w:fldChar w:fldCharType="separate"/>
            </w:r>
            <w:r w:rsidR="00CD12D0">
              <w:rPr>
                <w:noProof/>
                <w:webHidden/>
              </w:rPr>
              <w:t>22</w:t>
            </w:r>
            <w:r w:rsidR="009975E6">
              <w:rPr>
                <w:noProof/>
                <w:webHidden/>
              </w:rPr>
              <w:fldChar w:fldCharType="end"/>
            </w:r>
          </w:hyperlink>
        </w:p>
        <w:p w14:paraId="30A131C9" w14:textId="4FE5DD65" w:rsidR="009975E6" w:rsidRDefault="00124F55">
          <w:pPr>
            <w:pStyle w:val="Spistreci2"/>
            <w:rPr>
              <w:rFonts w:asciiTheme="minorHAnsi" w:hAnsiTheme="minorHAnsi" w:cstheme="minorBidi"/>
              <w:noProof/>
            </w:rPr>
          </w:pPr>
          <w:hyperlink w:anchor="_Toc176941426" w:history="1">
            <w:r w:rsidR="009975E6" w:rsidRPr="00A47314">
              <w:rPr>
                <w:rStyle w:val="Hipercze"/>
                <w:rFonts w:eastAsia="Calibri" w:cs="Calibri"/>
                <w:noProof/>
              </w:rPr>
              <w:t>I.1.</w:t>
            </w:r>
            <w:r w:rsidR="009975E6">
              <w:rPr>
                <w:rFonts w:asciiTheme="minorHAnsi" w:hAnsiTheme="minorHAnsi" w:cstheme="minorBidi"/>
                <w:noProof/>
              </w:rPr>
              <w:tab/>
            </w:r>
            <w:r w:rsidR="009975E6" w:rsidRPr="00A47314">
              <w:rPr>
                <w:rStyle w:val="Hipercze"/>
                <w:rFonts w:eastAsia="Calibri" w:cs="Calibri"/>
                <w:noProof/>
              </w:rPr>
              <w:t>Uproszczone metody rozliczania wydatków</w:t>
            </w:r>
            <w:r w:rsidR="009975E6">
              <w:rPr>
                <w:noProof/>
                <w:webHidden/>
              </w:rPr>
              <w:tab/>
            </w:r>
            <w:r w:rsidR="009975E6">
              <w:rPr>
                <w:noProof/>
                <w:webHidden/>
              </w:rPr>
              <w:fldChar w:fldCharType="begin"/>
            </w:r>
            <w:r w:rsidR="009975E6">
              <w:rPr>
                <w:noProof/>
                <w:webHidden/>
              </w:rPr>
              <w:instrText xml:space="preserve"> PAGEREF _Toc176941426 \h </w:instrText>
            </w:r>
            <w:r w:rsidR="009975E6">
              <w:rPr>
                <w:noProof/>
                <w:webHidden/>
              </w:rPr>
            </w:r>
            <w:r w:rsidR="009975E6">
              <w:rPr>
                <w:noProof/>
                <w:webHidden/>
              </w:rPr>
              <w:fldChar w:fldCharType="separate"/>
            </w:r>
            <w:r w:rsidR="00CD12D0">
              <w:rPr>
                <w:noProof/>
                <w:webHidden/>
              </w:rPr>
              <w:t>25</w:t>
            </w:r>
            <w:r w:rsidR="009975E6">
              <w:rPr>
                <w:noProof/>
                <w:webHidden/>
              </w:rPr>
              <w:fldChar w:fldCharType="end"/>
            </w:r>
          </w:hyperlink>
        </w:p>
        <w:p w14:paraId="32FFC9C2" w14:textId="1527F7B8" w:rsidR="009975E6" w:rsidRDefault="00124F55">
          <w:pPr>
            <w:pStyle w:val="Spistreci2"/>
            <w:rPr>
              <w:rFonts w:asciiTheme="minorHAnsi" w:hAnsiTheme="minorHAnsi" w:cstheme="minorBidi"/>
              <w:noProof/>
            </w:rPr>
          </w:pPr>
          <w:hyperlink w:anchor="_Toc176941427" w:history="1">
            <w:r w:rsidR="009975E6" w:rsidRPr="00A47314">
              <w:rPr>
                <w:rStyle w:val="Hipercze"/>
                <w:rFonts w:eastAsia="Calibri" w:cs="Calibri"/>
                <w:noProof/>
              </w:rPr>
              <w:t>J.</w:t>
            </w:r>
            <w:r w:rsidR="009975E6">
              <w:rPr>
                <w:rFonts w:asciiTheme="minorHAnsi" w:hAnsiTheme="minorHAnsi" w:cstheme="minorBidi"/>
                <w:noProof/>
              </w:rPr>
              <w:tab/>
            </w:r>
            <w:r w:rsidR="009975E6" w:rsidRPr="00A47314">
              <w:rPr>
                <w:rStyle w:val="Hipercze"/>
                <w:rFonts w:eastAsia="Calibri" w:cs="Calibri"/>
                <w:noProof/>
              </w:rPr>
              <w:t>Partnerstwo</w:t>
            </w:r>
            <w:r w:rsidR="009975E6">
              <w:rPr>
                <w:noProof/>
                <w:webHidden/>
              </w:rPr>
              <w:tab/>
            </w:r>
            <w:r w:rsidR="009975E6">
              <w:rPr>
                <w:noProof/>
                <w:webHidden/>
              </w:rPr>
              <w:fldChar w:fldCharType="begin"/>
            </w:r>
            <w:r w:rsidR="009975E6">
              <w:rPr>
                <w:noProof/>
                <w:webHidden/>
              </w:rPr>
              <w:instrText xml:space="preserve"> PAGEREF _Toc176941427 \h </w:instrText>
            </w:r>
            <w:r w:rsidR="009975E6">
              <w:rPr>
                <w:noProof/>
                <w:webHidden/>
              </w:rPr>
            </w:r>
            <w:r w:rsidR="009975E6">
              <w:rPr>
                <w:noProof/>
                <w:webHidden/>
              </w:rPr>
              <w:fldChar w:fldCharType="separate"/>
            </w:r>
            <w:r w:rsidR="00CD12D0">
              <w:rPr>
                <w:noProof/>
                <w:webHidden/>
              </w:rPr>
              <w:t>25</w:t>
            </w:r>
            <w:r w:rsidR="009975E6">
              <w:rPr>
                <w:noProof/>
                <w:webHidden/>
              </w:rPr>
              <w:fldChar w:fldCharType="end"/>
            </w:r>
          </w:hyperlink>
        </w:p>
        <w:p w14:paraId="19EBD3DF" w14:textId="15424C6D" w:rsidR="009975E6" w:rsidRDefault="00124F55">
          <w:pPr>
            <w:pStyle w:val="Spistreci1"/>
            <w:rPr>
              <w:rFonts w:asciiTheme="minorHAnsi" w:eastAsiaTheme="minorEastAsia" w:hAnsiTheme="minorHAnsi" w:cstheme="minorBidi"/>
              <w:b w:val="0"/>
              <w:sz w:val="22"/>
              <w:szCs w:val="22"/>
            </w:rPr>
          </w:pPr>
          <w:hyperlink w:anchor="_Toc176941428" w:history="1">
            <w:r w:rsidR="009975E6" w:rsidRPr="00A47314">
              <w:rPr>
                <w:rStyle w:val="Hipercze"/>
                <w:rFonts w:cs="Calibri"/>
              </w:rPr>
              <w:t>III.</w:t>
            </w:r>
            <w:r w:rsidR="009975E6">
              <w:rPr>
                <w:rFonts w:asciiTheme="minorHAnsi" w:eastAsiaTheme="minorEastAsia" w:hAnsiTheme="minorHAnsi" w:cstheme="minorBidi"/>
                <w:b w:val="0"/>
                <w:sz w:val="22"/>
                <w:szCs w:val="22"/>
              </w:rPr>
              <w:tab/>
            </w:r>
            <w:r w:rsidR="009975E6" w:rsidRPr="00A47314">
              <w:rPr>
                <w:rStyle w:val="Hipercze"/>
                <w:rFonts w:cs="Calibri"/>
              </w:rPr>
              <w:t>Zasady horyzontalne i środowiskowe</w:t>
            </w:r>
            <w:r w:rsidR="009975E6">
              <w:rPr>
                <w:webHidden/>
              </w:rPr>
              <w:tab/>
            </w:r>
            <w:r w:rsidR="009975E6">
              <w:rPr>
                <w:webHidden/>
              </w:rPr>
              <w:fldChar w:fldCharType="begin"/>
            </w:r>
            <w:r w:rsidR="009975E6">
              <w:rPr>
                <w:webHidden/>
              </w:rPr>
              <w:instrText xml:space="preserve"> PAGEREF _Toc176941428 \h </w:instrText>
            </w:r>
            <w:r w:rsidR="009975E6">
              <w:rPr>
                <w:webHidden/>
              </w:rPr>
            </w:r>
            <w:r w:rsidR="009975E6">
              <w:rPr>
                <w:webHidden/>
              </w:rPr>
              <w:fldChar w:fldCharType="separate"/>
            </w:r>
            <w:r w:rsidR="00CD12D0">
              <w:rPr>
                <w:webHidden/>
              </w:rPr>
              <w:t>28</w:t>
            </w:r>
            <w:r w:rsidR="009975E6">
              <w:rPr>
                <w:webHidden/>
              </w:rPr>
              <w:fldChar w:fldCharType="end"/>
            </w:r>
          </w:hyperlink>
        </w:p>
        <w:p w14:paraId="072BD4ED" w14:textId="36B15F86" w:rsidR="009975E6" w:rsidRDefault="00124F55">
          <w:pPr>
            <w:pStyle w:val="Spistreci2"/>
            <w:rPr>
              <w:rFonts w:asciiTheme="minorHAnsi" w:hAnsiTheme="minorHAnsi" w:cstheme="minorBidi"/>
              <w:noProof/>
            </w:rPr>
          </w:pPr>
          <w:hyperlink w:anchor="_Toc176941429"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Zasada równości kobiet i mężczyzn</w:t>
            </w:r>
            <w:r w:rsidR="009975E6">
              <w:rPr>
                <w:noProof/>
                <w:webHidden/>
              </w:rPr>
              <w:tab/>
            </w:r>
            <w:r w:rsidR="009975E6">
              <w:rPr>
                <w:noProof/>
                <w:webHidden/>
              </w:rPr>
              <w:fldChar w:fldCharType="begin"/>
            </w:r>
            <w:r w:rsidR="009975E6">
              <w:rPr>
                <w:noProof/>
                <w:webHidden/>
              </w:rPr>
              <w:instrText xml:space="preserve"> PAGEREF _Toc176941429 \h </w:instrText>
            </w:r>
            <w:r w:rsidR="009975E6">
              <w:rPr>
                <w:noProof/>
                <w:webHidden/>
              </w:rPr>
            </w:r>
            <w:r w:rsidR="009975E6">
              <w:rPr>
                <w:noProof/>
                <w:webHidden/>
              </w:rPr>
              <w:fldChar w:fldCharType="separate"/>
            </w:r>
            <w:r w:rsidR="00CD12D0">
              <w:rPr>
                <w:noProof/>
                <w:webHidden/>
              </w:rPr>
              <w:t>28</w:t>
            </w:r>
            <w:r w:rsidR="009975E6">
              <w:rPr>
                <w:noProof/>
                <w:webHidden/>
              </w:rPr>
              <w:fldChar w:fldCharType="end"/>
            </w:r>
          </w:hyperlink>
        </w:p>
        <w:p w14:paraId="37944371" w14:textId="097D78ED" w:rsidR="009975E6" w:rsidRDefault="00124F55">
          <w:pPr>
            <w:pStyle w:val="Spistreci2"/>
            <w:rPr>
              <w:rFonts w:asciiTheme="minorHAnsi" w:hAnsiTheme="minorHAnsi" w:cstheme="minorBidi"/>
              <w:noProof/>
            </w:rPr>
          </w:pPr>
          <w:hyperlink w:anchor="_Toc176941430"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Zasada równości szans i niedyskryminacji, w tym dostępności dla osób z niepełnosprawnościami</w:t>
            </w:r>
            <w:r w:rsidR="009975E6">
              <w:rPr>
                <w:noProof/>
                <w:webHidden/>
              </w:rPr>
              <w:tab/>
            </w:r>
            <w:r w:rsidR="009975E6">
              <w:rPr>
                <w:noProof/>
                <w:webHidden/>
              </w:rPr>
              <w:fldChar w:fldCharType="begin"/>
            </w:r>
            <w:r w:rsidR="009975E6">
              <w:rPr>
                <w:noProof/>
                <w:webHidden/>
              </w:rPr>
              <w:instrText xml:space="preserve"> PAGEREF _Toc176941430 \h </w:instrText>
            </w:r>
            <w:r w:rsidR="009975E6">
              <w:rPr>
                <w:noProof/>
                <w:webHidden/>
              </w:rPr>
            </w:r>
            <w:r w:rsidR="009975E6">
              <w:rPr>
                <w:noProof/>
                <w:webHidden/>
              </w:rPr>
              <w:fldChar w:fldCharType="separate"/>
            </w:r>
            <w:r w:rsidR="00CD12D0">
              <w:rPr>
                <w:noProof/>
                <w:webHidden/>
              </w:rPr>
              <w:t>28</w:t>
            </w:r>
            <w:r w:rsidR="009975E6">
              <w:rPr>
                <w:noProof/>
                <w:webHidden/>
              </w:rPr>
              <w:fldChar w:fldCharType="end"/>
            </w:r>
          </w:hyperlink>
        </w:p>
        <w:p w14:paraId="4DEC1A7F" w14:textId="79C3B95D" w:rsidR="009975E6" w:rsidRDefault="00124F55">
          <w:pPr>
            <w:pStyle w:val="Spistreci2"/>
            <w:rPr>
              <w:rFonts w:asciiTheme="minorHAnsi" w:hAnsiTheme="minorHAnsi" w:cstheme="minorBidi"/>
              <w:noProof/>
            </w:rPr>
          </w:pPr>
          <w:hyperlink w:anchor="_Toc176941431"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Zasada zrównoważonego rozwoju i DNSH</w:t>
            </w:r>
            <w:r w:rsidR="009975E6">
              <w:rPr>
                <w:noProof/>
                <w:webHidden/>
              </w:rPr>
              <w:tab/>
            </w:r>
            <w:r w:rsidR="009975E6">
              <w:rPr>
                <w:noProof/>
                <w:webHidden/>
              </w:rPr>
              <w:fldChar w:fldCharType="begin"/>
            </w:r>
            <w:r w:rsidR="009975E6">
              <w:rPr>
                <w:noProof/>
                <w:webHidden/>
              </w:rPr>
              <w:instrText xml:space="preserve"> PAGEREF _Toc176941431 \h </w:instrText>
            </w:r>
            <w:r w:rsidR="009975E6">
              <w:rPr>
                <w:noProof/>
                <w:webHidden/>
              </w:rPr>
            </w:r>
            <w:r w:rsidR="009975E6">
              <w:rPr>
                <w:noProof/>
                <w:webHidden/>
              </w:rPr>
              <w:fldChar w:fldCharType="separate"/>
            </w:r>
            <w:r w:rsidR="00CD12D0">
              <w:rPr>
                <w:noProof/>
                <w:webHidden/>
              </w:rPr>
              <w:t>30</w:t>
            </w:r>
            <w:r w:rsidR="009975E6">
              <w:rPr>
                <w:noProof/>
                <w:webHidden/>
              </w:rPr>
              <w:fldChar w:fldCharType="end"/>
            </w:r>
          </w:hyperlink>
        </w:p>
        <w:p w14:paraId="75C148CF" w14:textId="485542BB" w:rsidR="009975E6" w:rsidRDefault="00124F55">
          <w:pPr>
            <w:pStyle w:val="Spistreci1"/>
            <w:rPr>
              <w:rFonts w:asciiTheme="minorHAnsi" w:eastAsiaTheme="minorEastAsia" w:hAnsiTheme="minorHAnsi" w:cstheme="minorBidi"/>
              <w:b w:val="0"/>
              <w:sz w:val="22"/>
              <w:szCs w:val="22"/>
            </w:rPr>
          </w:pPr>
          <w:hyperlink w:anchor="_Toc176941432" w:history="1">
            <w:r w:rsidR="009975E6" w:rsidRPr="00A47314">
              <w:rPr>
                <w:rStyle w:val="Hipercze"/>
                <w:rFonts w:cs="Calibri"/>
              </w:rPr>
              <w:t>IV.</w:t>
            </w:r>
            <w:r w:rsidR="009975E6">
              <w:rPr>
                <w:rFonts w:asciiTheme="minorHAnsi" w:eastAsiaTheme="minorEastAsia" w:hAnsiTheme="minorHAnsi" w:cstheme="minorBidi"/>
                <w:b w:val="0"/>
                <w:sz w:val="22"/>
                <w:szCs w:val="22"/>
              </w:rPr>
              <w:tab/>
            </w:r>
            <w:r w:rsidR="009975E6" w:rsidRPr="00A47314">
              <w:rPr>
                <w:rStyle w:val="Hipercze"/>
                <w:rFonts w:cs="Calibri"/>
              </w:rPr>
              <w:t>Procedura wyboru projektów</w:t>
            </w:r>
            <w:r w:rsidR="009975E6">
              <w:rPr>
                <w:webHidden/>
              </w:rPr>
              <w:tab/>
            </w:r>
            <w:r w:rsidR="009975E6">
              <w:rPr>
                <w:webHidden/>
              </w:rPr>
              <w:fldChar w:fldCharType="begin"/>
            </w:r>
            <w:r w:rsidR="009975E6">
              <w:rPr>
                <w:webHidden/>
              </w:rPr>
              <w:instrText xml:space="preserve"> PAGEREF _Toc176941432 \h </w:instrText>
            </w:r>
            <w:r w:rsidR="009975E6">
              <w:rPr>
                <w:webHidden/>
              </w:rPr>
            </w:r>
            <w:r w:rsidR="009975E6">
              <w:rPr>
                <w:webHidden/>
              </w:rPr>
              <w:fldChar w:fldCharType="separate"/>
            </w:r>
            <w:r w:rsidR="00CD12D0">
              <w:rPr>
                <w:webHidden/>
              </w:rPr>
              <w:t>31</w:t>
            </w:r>
            <w:r w:rsidR="009975E6">
              <w:rPr>
                <w:webHidden/>
              </w:rPr>
              <w:fldChar w:fldCharType="end"/>
            </w:r>
          </w:hyperlink>
        </w:p>
        <w:p w14:paraId="131322C4" w14:textId="3F62AE06" w:rsidR="009975E6" w:rsidRDefault="00124F55">
          <w:pPr>
            <w:pStyle w:val="Spistreci2"/>
            <w:rPr>
              <w:rFonts w:asciiTheme="minorHAnsi" w:hAnsiTheme="minorHAnsi" w:cstheme="minorBidi"/>
              <w:noProof/>
            </w:rPr>
          </w:pPr>
          <w:hyperlink w:anchor="_Toc176941433"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Nabór i złożenie wniosku</w:t>
            </w:r>
            <w:r w:rsidR="009975E6">
              <w:rPr>
                <w:noProof/>
                <w:webHidden/>
              </w:rPr>
              <w:tab/>
            </w:r>
            <w:r w:rsidR="009975E6">
              <w:rPr>
                <w:noProof/>
                <w:webHidden/>
              </w:rPr>
              <w:fldChar w:fldCharType="begin"/>
            </w:r>
            <w:r w:rsidR="009975E6">
              <w:rPr>
                <w:noProof/>
                <w:webHidden/>
              </w:rPr>
              <w:instrText xml:space="preserve"> PAGEREF _Toc176941433 \h </w:instrText>
            </w:r>
            <w:r w:rsidR="009975E6">
              <w:rPr>
                <w:noProof/>
                <w:webHidden/>
              </w:rPr>
            </w:r>
            <w:r w:rsidR="009975E6">
              <w:rPr>
                <w:noProof/>
                <w:webHidden/>
              </w:rPr>
              <w:fldChar w:fldCharType="separate"/>
            </w:r>
            <w:r w:rsidR="00CD12D0">
              <w:rPr>
                <w:noProof/>
                <w:webHidden/>
              </w:rPr>
              <w:t>31</w:t>
            </w:r>
            <w:r w:rsidR="009975E6">
              <w:rPr>
                <w:noProof/>
                <w:webHidden/>
              </w:rPr>
              <w:fldChar w:fldCharType="end"/>
            </w:r>
          </w:hyperlink>
        </w:p>
        <w:p w14:paraId="60296C87" w14:textId="69DB1C2F" w:rsidR="009975E6" w:rsidRDefault="00124F55">
          <w:pPr>
            <w:pStyle w:val="Spistreci2"/>
            <w:rPr>
              <w:rFonts w:asciiTheme="minorHAnsi" w:hAnsiTheme="minorHAnsi" w:cstheme="minorBidi"/>
              <w:noProof/>
            </w:rPr>
          </w:pPr>
          <w:hyperlink w:anchor="_Toc176941434"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Ocena formalna i merytoryczna projektów – przeprowadzana przez LGD</w:t>
            </w:r>
            <w:r w:rsidR="009975E6">
              <w:rPr>
                <w:noProof/>
                <w:webHidden/>
              </w:rPr>
              <w:tab/>
            </w:r>
            <w:r w:rsidR="009975E6">
              <w:rPr>
                <w:noProof/>
                <w:webHidden/>
              </w:rPr>
              <w:fldChar w:fldCharType="begin"/>
            </w:r>
            <w:r w:rsidR="009975E6">
              <w:rPr>
                <w:noProof/>
                <w:webHidden/>
              </w:rPr>
              <w:instrText xml:space="preserve"> PAGEREF _Toc176941434 \h </w:instrText>
            </w:r>
            <w:r w:rsidR="009975E6">
              <w:rPr>
                <w:noProof/>
                <w:webHidden/>
              </w:rPr>
            </w:r>
            <w:r w:rsidR="009975E6">
              <w:rPr>
                <w:noProof/>
                <w:webHidden/>
              </w:rPr>
              <w:fldChar w:fldCharType="separate"/>
            </w:r>
            <w:r w:rsidR="00CD12D0">
              <w:rPr>
                <w:noProof/>
                <w:webHidden/>
              </w:rPr>
              <w:t>33</w:t>
            </w:r>
            <w:r w:rsidR="009975E6">
              <w:rPr>
                <w:noProof/>
                <w:webHidden/>
              </w:rPr>
              <w:fldChar w:fldCharType="end"/>
            </w:r>
          </w:hyperlink>
        </w:p>
        <w:p w14:paraId="30356125" w14:textId="30908F86" w:rsidR="009975E6" w:rsidRDefault="00124F55">
          <w:pPr>
            <w:pStyle w:val="Spistreci2"/>
            <w:rPr>
              <w:rFonts w:asciiTheme="minorHAnsi" w:hAnsiTheme="minorHAnsi" w:cstheme="minorBidi"/>
              <w:noProof/>
            </w:rPr>
          </w:pPr>
          <w:hyperlink w:anchor="_Toc176941435"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Weryfikacja poprawności procesu naboru i oceny wniosków przez LGD – przeprowadzana przez DOW</w:t>
            </w:r>
            <w:r w:rsidR="009975E6">
              <w:rPr>
                <w:noProof/>
                <w:webHidden/>
              </w:rPr>
              <w:tab/>
            </w:r>
            <w:r w:rsidR="009975E6">
              <w:rPr>
                <w:noProof/>
                <w:webHidden/>
              </w:rPr>
              <w:fldChar w:fldCharType="begin"/>
            </w:r>
            <w:r w:rsidR="009975E6">
              <w:rPr>
                <w:noProof/>
                <w:webHidden/>
              </w:rPr>
              <w:instrText xml:space="preserve"> PAGEREF _Toc176941435 \h </w:instrText>
            </w:r>
            <w:r w:rsidR="009975E6">
              <w:rPr>
                <w:noProof/>
                <w:webHidden/>
              </w:rPr>
            </w:r>
            <w:r w:rsidR="009975E6">
              <w:rPr>
                <w:noProof/>
                <w:webHidden/>
              </w:rPr>
              <w:fldChar w:fldCharType="separate"/>
            </w:r>
            <w:r w:rsidR="00CD12D0">
              <w:rPr>
                <w:noProof/>
                <w:webHidden/>
              </w:rPr>
              <w:t>34</w:t>
            </w:r>
            <w:r w:rsidR="009975E6">
              <w:rPr>
                <w:noProof/>
                <w:webHidden/>
              </w:rPr>
              <w:fldChar w:fldCharType="end"/>
            </w:r>
          </w:hyperlink>
        </w:p>
        <w:p w14:paraId="0ADC83B7" w14:textId="62776EC6" w:rsidR="009975E6" w:rsidRDefault="00124F55">
          <w:pPr>
            <w:pStyle w:val="Spistreci2"/>
            <w:rPr>
              <w:rFonts w:asciiTheme="minorHAnsi" w:hAnsiTheme="minorHAnsi" w:cstheme="minorBidi"/>
              <w:noProof/>
            </w:rPr>
          </w:pPr>
          <w:hyperlink w:anchor="_Toc176941436"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Ostateczna weryfikacja kwalifikowalności – przeprowadzana przez DWP</w:t>
            </w:r>
            <w:r w:rsidR="009975E6">
              <w:rPr>
                <w:noProof/>
                <w:webHidden/>
              </w:rPr>
              <w:tab/>
            </w:r>
            <w:r w:rsidR="009975E6">
              <w:rPr>
                <w:noProof/>
                <w:webHidden/>
              </w:rPr>
              <w:fldChar w:fldCharType="begin"/>
            </w:r>
            <w:r w:rsidR="009975E6">
              <w:rPr>
                <w:noProof/>
                <w:webHidden/>
              </w:rPr>
              <w:instrText xml:space="preserve"> PAGEREF _Toc176941436 \h </w:instrText>
            </w:r>
            <w:r w:rsidR="009975E6">
              <w:rPr>
                <w:noProof/>
                <w:webHidden/>
              </w:rPr>
            </w:r>
            <w:r w:rsidR="009975E6">
              <w:rPr>
                <w:noProof/>
                <w:webHidden/>
              </w:rPr>
              <w:fldChar w:fldCharType="separate"/>
            </w:r>
            <w:r w:rsidR="00CD12D0">
              <w:rPr>
                <w:noProof/>
                <w:webHidden/>
              </w:rPr>
              <w:t>34</w:t>
            </w:r>
            <w:r w:rsidR="009975E6">
              <w:rPr>
                <w:noProof/>
                <w:webHidden/>
              </w:rPr>
              <w:fldChar w:fldCharType="end"/>
            </w:r>
          </w:hyperlink>
        </w:p>
        <w:p w14:paraId="48B5AA98" w14:textId="25A383EF" w:rsidR="009975E6" w:rsidRDefault="00124F55">
          <w:pPr>
            <w:pStyle w:val="Spistreci2"/>
            <w:rPr>
              <w:rFonts w:asciiTheme="minorHAnsi" w:hAnsiTheme="minorHAnsi" w:cstheme="minorBidi"/>
              <w:noProof/>
            </w:rPr>
          </w:pPr>
          <w:hyperlink w:anchor="_Toc176941437"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Wybór projektów do dofinansowania</w:t>
            </w:r>
            <w:r w:rsidR="009975E6">
              <w:rPr>
                <w:noProof/>
                <w:webHidden/>
              </w:rPr>
              <w:tab/>
            </w:r>
            <w:r w:rsidR="009975E6">
              <w:rPr>
                <w:noProof/>
                <w:webHidden/>
              </w:rPr>
              <w:fldChar w:fldCharType="begin"/>
            </w:r>
            <w:r w:rsidR="009975E6">
              <w:rPr>
                <w:noProof/>
                <w:webHidden/>
              </w:rPr>
              <w:instrText xml:space="preserve"> PAGEREF _Toc176941437 \h </w:instrText>
            </w:r>
            <w:r w:rsidR="009975E6">
              <w:rPr>
                <w:noProof/>
                <w:webHidden/>
              </w:rPr>
            </w:r>
            <w:r w:rsidR="009975E6">
              <w:rPr>
                <w:noProof/>
                <w:webHidden/>
              </w:rPr>
              <w:fldChar w:fldCharType="separate"/>
            </w:r>
            <w:r w:rsidR="00CD12D0">
              <w:rPr>
                <w:noProof/>
                <w:webHidden/>
              </w:rPr>
              <w:t>36</w:t>
            </w:r>
            <w:r w:rsidR="009975E6">
              <w:rPr>
                <w:noProof/>
                <w:webHidden/>
              </w:rPr>
              <w:fldChar w:fldCharType="end"/>
            </w:r>
          </w:hyperlink>
        </w:p>
        <w:p w14:paraId="7C5E5C03" w14:textId="122EAA2E" w:rsidR="009975E6" w:rsidRDefault="00124F55">
          <w:pPr>
            <w:pStyle w:val="Spistreci2"/>
            <w:rPr>
              <w:rFonts w:asciiTheme="minorHAnsi" w:hAnsiTheme="minorHAnsi" w:cstheme="minorBidi"/>
              <w:noProof/>
            </w:rPr>
          </w:pPr>
          <w:hyperlink w:anchor="_Toc176941438"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Procedura odwoławcza</w:t>
            </w:r>
            <w:r w:rsidR="009975E6">
              <w:rPr>
                <w:noProof/>
                <w:webHidden/>
              </w:rPr>
              <w:tab/>
            </w:r>
            <w:r w:rsidR="009975E6">
              <w:rPr>
                <w:noProof/>
                <w:webHidden/>
              </w:rPr>
              <w:fldChar w:fldCharType="begin"/>
            </w:r>
            <w:r w:rsidR="009975E6">
              <w:rPr>
                <w:noProof/>
                <w:webHidden/>
              </w:rPr>
              <w:instrText xml:space="preserve"> PAGEREF _Toc176941438 \h </w:instrText>
            </w:r>
            <w:r w:rsidR="009975E6">
              <w:rPr>
                <w:noProof/>
                <w:webHidden/>
              </w:rPr>
            </w:r>
            <w:r w:rsidR="009975E6">
              <w:rPr>
                <w:noProof/>
                <w:webHidden/>
              </w:rPr>
              <w:fldChar w:fldCharType="separate"/>
            </w:r>
            <w:r w:rsidR="00CD12D0">
              <w:rPr>
                <w:noProof/>
                <w:webHidden/>
              </w:rPr>
              <w:t>36</w:t>
            </w:r>
            <w:r w:rsidR="009975E6">
              <w:rPr>
                <w:noProof/>
                <w:webHidden/>
              </w:rPr>
              <w:fldChar w:fldCharType="end"/>
            </w:r>
          </w:hyperlink>
        </w:p>
        <w:p w14:paraId="4AFCD447" w14:textId="0726B7A7" w:rsidR="009975E6" w:rsidRDefault="00124F55">
          <w:pPr>
            <w:pStyle w:val="Spistreci1"/>
            <w:rPr>
              <w:rFonts w:asciiTheme="minorHAnsi" w:eastAsiaTheme="minorEastAsia" w:hAnsiTheme="minorHAnsi" w:cstheme="minorBidi"/>
              <w:b w:val="0"/>
              <w:sz w:val="22"/>
              <w:szCs w:val="22"/>
            </w:rPr>
          </w:pPr>
          <w:hyperlink w:anchor="_Toc176941439" w:history="1">
            <w:r w:rsidR="009975E6" w:rsidRPr="00A47314">
              <w:rPr>
                <w:rStyle w:val="Hipercze"/>
                <w:rFonts w:cs="Calibri"/>
              </w:rPr>
              <w:t>V.</w:t>
            </w:r>
            <w:r w:rsidR="009975E6">
              <w:rPr>
                <w:rFonts w:asciiTheme="minorHAnsi" w:eastAsiaTheme="minorEastAsia" w:hAnsiTheme="minorHAnsi" w:cstheme="minorBidi"/>
                <w:b w:val="0"/>
                <w:sz w:val="22"/>
                <w:szCs w:val="22"/>
              </w:rPr>
              <w:tab/>
            </w:r>
            <w:r w:rsidR="009975E6" w:rsidRPr="00A47314">
              <w:rPr>
                <w:rStyle w:val="Hipercze"/>
                <w:rFonts w:cs="Calibri"/>
              </w:rPr>
              <w:t>Umowa o dofinansowanie</w:t>
            </w:r>
            <w:r w:rsidR="009975E6">
              <w:rPr>
                <w:webHidden/>
              </w:rPr>
              <w:tab/>
            </w:r>
            <w:r w:rsidR="009975E6">
              <w:rPr>
                <w:webHidden/>
              </w:rPr>
              <w:fldChar w:fldCharType="begin"/>
            </w:r>
            <w:r w:rsidR="009975E6">
              <w:rPr>
                <w:webHidden/>
              </w:rPr>
              <w:instrText xml:space="preserve"> PAGEREF _Toc176941439 \h </w:instrText>
            </w:r>
            <w:r w:rsidR="009975E6">
              <w:rPr>
                <w:webHidden/>
              </w:rPr>
            </w:r>
            <w:r w:rsidR="009975E6">
              <w:rPr>
                <w:webHidden/>
              </w:rPr>
              <w:fldChar w:fldCharType="separate"/>
            </w:r>
            <w:r w:rsidR="00CD12D0">
              <w:rPr>
                <w:webHidden/>
              </w:rPr>
              <w:t>37</w:t>
            </w:r>
            <w:r w:rsidR="009975E6">
              <w:rPr>
                <w:webHidden/>
              </w:rPr>
              <w:fldChar w:fldCharType="end"/>
            </w:r>
          </w:hyperlink>
        </w:p>
        <w:p w14:paraId="606884ED" w14:textId="6E71A26D" w:rsidR="009975E6" w:rsidRDefault="00124F55">
          <w:pPr>
            <w:pStyle w:val="Spistreci1"/>
            <w:rPr>
              <w:rFonts w:asciiTheme="minorHAnsi" w:eastAsiaTheme="minorEastAsia" w:hAnsiTheme="minorHAnsi" w:cstheme="minorBidi"/>
              <w:b w:val="0"/>
              <w:sz w:val="22"/>
              <w:szCs w:val="22"/>
            </w:rPr>
          </w:pPr>
          <w:hyperlink w:anchor="_Toc176941440" w:history="1">
            <w:r w:rsidR="009975E6" w:rsidRPr="00A47314">
              <w:rPr>
                <w:rStyle w:val="Hipercze"/>
                <w:rFonts w:cs="Calibri"/>
              </w:rPr>
              <w:t>VI.</w:t>
            </w:r>
            <w:r w:rsidR="009975E6">
              <w:rPr>
                <w:rFonts w:asciiTheme="minorHAnsi" w:eastAsiaTheme="minorEastAsia" w:hAnsiTheme="minorHAnsi" w:cstheme="minorBidi"/>
                <w:b w:val="0"/>
                <w:sz w:val="22"/>
                <w:szCs w:val="22"/>
              </w:rPr>
              <w:tab/>
            </w:r>
            <w:r w:rsidR="009975E6" w:rsidRPr="00A47314">
              <w:rPr>
                <w:rStyle w:val="Hipercze"/>
                <w:rFonts w:cs="Calibri"/>
              </w:rPr>
              <w:t>Dokumentacja zezwalająca na realizację projektu</w:t>
            </w:r>
            <w:r w:rsidR="009975E6">
              <w:rPr>
                <w:webHidden/>
              </w:rPr>
              <w:tab/>
            </w:r>
            <w:r w:rsidR="009975E6">
              <w:rPr>
                <w:webHidden/>
              </w:rPr>
              <w:fldChar w:fldCharType="begin"/>
            </w:r>
            <w:r w:rsidR="009975E6">
              <w:rPr>
                <w:webHidden/>
              </w:rPr>
              <w:instrText xml:space="preserve"> PAGEREF _Toc176941440 \h </w:instrText>
            </w:r>
            <w:r w:rsidR="009975E6">
              <w:rPr>
                <w:webHidden/>
              </w:rPr>
            </w:r>
            <w:r w:rsidR="009975E6">
              <w:rPr>
                <w:webHidden/>
              </w:rPr>
              <w:fldChar w:fldCharType="separate"/>
            </w:r>
            <w:r w:rsidR="00CD12D0">
              <w:rPr>
                <w:webHidden/>
              </w:rPr>
              <w:t>42</w:t>
            </w:r>
            <w:r w:rsidR="009975E6">
              <w:rPr>
                <w:webHidden/>
              </w:rPr>
              <w:fldChar w:fldCharType="end"/>
            </w:r>
          </w:hyperlink>
        </w:p>
        <w:p w14:paraId="24C06FD6" w14:textId="7B676CB6" w:rsidR="009975E6" w:rsidRDefault="00124F55">
          <w:pPr>
            <w:pStyle w:val="Spistreci1"/>
            <w:rPr>
              <w:rFonts w:asciiTheme="minorHAnsi" w:eastAsiaTheme="minorEastAsia" w:hAnsiTheme="minorHAnsi" w:cstheme="minorBidi"/>
              <w:b w:val="0"/>
              <w:sz w:val="22"/>
              <w:szCs w:val="22"/>
            </w:rPr>
          </w:pPr>
          <w:hyperlink w:anchor="_Toc176941441" w:history="1">
            <w:r w:rsidR="009975E6" w:rsidRPr="00A47314">
              <w:rPr>
                <w:rStyle w:val="Hipercze"/>
                <w:rFonts w:cs="Calibri"/>
              </w:rPr>
              <w:t>VII.</w:t>
            </w:r>
            <w:r w:rsidR="009975E6">
              <w:rPr>
                <w:rFonts w:asciiTheme="minorHAnsi" w:eastAsiaTheme="minorEastAsia" w:hAnsiTheme="minorHAnsi" w:cstheme="minorBidi"/>
                <w:b w:val="0"/>
                <w:sz w:val="22"/>
                <w:szCs w:val="22"/>
              </w:rPr>
              <w:tab/>
            </w:r>
            <w:r w:rsidR="009975E6" w:rsidRPr="00A47314">
              <w:rPr>
                <w:rStyle w:val="Hipercze"/>
                <w:rFonts w:cs="Calibri"/>
              </w:rPr>
              <w:t>Zamówienia publiczne</w:t>
            </w:r>
            <w:r w:rsidR="009975E6">
              <w:rPr>
                <w:webHidden/>
              </w:rPr>
              <w:tab/>
            </w:r>
            <w:r w:rsidR="009975E6">
              <w:rPr>
                <w:webHidden/>
              </w:rPr>
              <w:fldChar w:fldCharType="begin"/>
            </w:r>
            <w:r w:rsidR="009975E6">
              <w:rPr>
                <w:webHidden/>
              </w:rPr>
              <w:instrText xml:space="preserve"> PAGEREF _Toc176941441 \h </w:instrText>
            </w:r>
            <w:r w:rsidR="009975E6">
              <w:rPr>
                <w:webHidden/>
              </w:rPr>
            </w:r>
            <w:r w:rsidR="009975E6">
              <w:rPr>
                <w:webHidden/>
              </w:rPr>
              <w:fldChar w:fldCharType="separate"/>
            </w:r>
            <w:r w:rsidR="00CD12D0">
              <w:rPr>
                <w:webHidden/>
              </w:rPr>
              <w:t>47</w:t>
            </w:r>
            <w:r w:rsidR="009975E6">
              <w:rPr>
                <w:webHidden/>
              </w:rPr>
              <w:fldChar w:fldCharType="end"/>
            </w:r>
          </w:hyperlink>
        </w:p>
        <w:p w14:paraId="058F2243" w14:textId="234CB688" w:rsidR="009975E6" w:rsidRDefault="00124F55">
          <w:pPr>
            <w:pStyle w:val="Spistreci1"/>
            <w:rPr>
              <w:rFonts w:asciiTheme="minorHAnsi" w:eastAsiaTheme="minorEastAsia" w:hAnsiTheme="minorHAnsi" w:cstheme="minorBidi"/>
              <w:b w:val="0"/>
              <w:sz w:val="22"/>
              <w:szCs w:val="22"/>
            </w:rPr>
          </w:pPr>
          <w:hyperlink w:anchor="_Toc176941442" w:history="1">
            <w:r w:rsidR="009975E6" w:rsidRPr="00A47314">
              <w:rPr>
                <w:rStyle w:val="Hipercze"/>
                <w:rFonts w:cs="Calibri"/>
              </w:rPr>
              <w:t>VIII.</w:t>
            </w:r>
            <w:r w:rsidR="009975E6">
              <w:rPr>
                <w:rFonts w:asciiTheme="minorHAnsi" w:eastAsiaTheme="minorEastAsia" w:hAnsiTheme="minorHAnsi" w:cstheme="minorBidi"/>
                <w:b w:val="0"/>
                <w:sz w:val="22"/>
                <w:szCs w:val="22"/>
              </w:rPr>
              <w:tab/>
            </w:r>
            <w:r w:rsidR="009975E6" w:rsidRPr="00A47314">
              <w:rPr>
                <w:rStyle w:val="Hipercze"/>
                <w:rFonts w:cs="Calibri"/>
              </w:rPr>
              <w:t>Zasady wypłaty dofinansowania i rozliczania projektów</w:t>
            </w:r>
            <w:r w:rsidR="009975E6">
              <w:rPr>
                <w:webHidden/>
              </w:rPr>
              <w:tab/>
            </w:r>
            <w:r w:rsidR="009975E6">
              <w:rPr>
                <w:webHidden/>
              </w:rPr>
              <w:fldChar w:fldCharType="begin"/>
            </w:r>
            <w:r w:rsidR="009975E6">
              <w:rPr>
                <w:webHidden/>
              </w:rPr>
              <w:instrText xml:space="preserve"> PAGEREF _Toc176941442 \h </w:instrText>
            </w:r>
            <w:r w:rsidR="009975E6">
              <w:rPr>
                <w:webHidden/>
              </w:rPr>
            </w:r>
            <w:r w:rsidR="009975E6">
              <w:rPr>
                <w:webHidden/>
              </w:rPr>
              <w:fldChar w:fldCharType="separate"/>
            </w:r>
            <w:r w:rsidR="00CD12D0">
              <w:rPr>
                <w:webHidden/>
              </w:rPr>
              <w:t>50</w:t>
            </w:r>
            <w:r w:rsidR="009975E6">
              <w:rPr>
                <w:webHidden/>
              </w:rPr>
              <w:fldChar w:fldCharType="end"/>
            </w:r>
          </w:hyperlink>
        </w:p>
        <w:p w14:paraId="5F221CAF" w14:textId="18253056" w:rsidR="009975E6" w:rsidRDefault="00124F55">
          <w:pPr>
            <w:pStyle w:val="Spistreci1"/>
            <w:rPr>
              <w:rFonts w:asciiTheme="minorHAnsi" w:eastAsiaTheme="minorEastAsia" w:hAnsiTheme="minorHAnsi" w:cstheme="minorBidi"/>
              <w:b w:val="0"/>
              <w:sz w:val="22"/>
              <w:szCs w:val="22"/>
            </w:rPr>
          </w:pPr>
          <w:hyperlink w:anchor="_Toc176941443" w:history="1">
            <w:r w:rsidR="009975E6" w:rsidRPr="00A47314">
              <w:rPr>
                <w:rStyle w:val="Hipercze"/>
                <w:rFonts w:cs="Calibri"/>
              </w:rPr>
              <w:t>IX.</w:t>
            </w:r>
            <w:r w:rsidR="009975E6">
              <w:rPr>
                <w:rFonts w:asciiTheme="minorHAnsi" w:eastAsiaTheme="minorEastAsia" w:hAnsiTheme="minorHAnsi" w:cstheme="minorBidi"/>
                <w:b w:val="0"/>
                <w:sz w:val="22"/>
                <w:szCs w:val="22"/>
              </w:rPr>
              <w:tab/>
            </w:r>
            <w:r w:rsidR="009975E6" w:rsidRPr="00A47314">
              <w:rPr>
                <w:rStyle w:val="Hipercze"/>
                <w:rFonts w:cs="Calibri"/>
              </w:rPr>
              <w:t>Postanowienia końcowe</w:t>
            </w:r>
            <w:r w:rsidR="009975E6">
              <w:rPr>
                <w:webHidden/>
              </w:rPr>
              <w:tab/>
            </w:r>
            <w:r w:rsidR="009975E6">
              <w:rPr>
                <w:webHidden/>
              </w:rPr>
              <w:fldChar w:fldCharType="begin"/>
            </w:r>
            <w:r w:rsidR="009975E6">
              <w:rPr>
                <w:webHidden/>
              </w:rPr>
              <w:instrText xml:space="preserve"> PAGEREF _Toc176941443 \h </w:instrText>
            </w:r>
            <w:r w:rsidR="009975E6">
              <w:rPr>
                <w:webHidden/>
              </w:rPr>
            </w:r>
            <w:r w:rsidR="009975E6">
              <w:rPr>
                <w:webHidden/>
              </w:rPr>
              <w:fldChar w:fldCharType="separate"/>
            </w:r>
            <w:r w:rsidR="00CD12D0">
              <w:rPr>
                <w:webHidden/>
              </w:rPr>
              <w:t>51</w:t>
            </w:r>
            <w:r w:rsidR="009975E6">
              <w:rPr>
                <w:webHidden/>
              </w:rPr>
              <w:fldChar w:fldCharType="end"/>
            </w:r>
          </w:hyperlink>
        </w:p>
        <w:p w14:paraId="3AB35631" w14:textId="47B0644E" w:rsidR="009975E6" w:rsidRDefault="00124F55">
          <w:pPr>
            <w:pStyle w:val="Spistreci1"/>
            <w:rPr>
              <w:rFonts w:asciiTheme="minorHAnsi" w:eastAsiaTheme="minorEastAsia" w:hAnsiTheme="minorHAnsi" w:cstheme="minorBidi"/>
              <w:b w:val="0"/>
              <w:sz w:val="22"/>
              <w:szCs w:val="22"/>
            </w:rPr>
          </w:pPr>
          <w:hyperlink w:anchor="_Toc176941444" w:history="1">
            <w:r w:rsidR="009975E6" w:rsidRPr="00A47314">
              <w:rPr>
                <w:rStyle w:val="Hipercze"/>
                <w:rFonts w:cs="Calibri"/>
              </w:rPr>
              <w:t>X.</w:t>
            </w:r>
            <w:r w:rsidR="009975E6">
              <w:rPr>
                <w:rFonts w:asciiTheme="minorHAnsi" w:eastAsiaTheme="minorEastAsia" w:hAnsiTheme="minorHAnsi" w:cstheme="minorBidi"/>
                <w:b w:val="0"/>
                <w:sz w:val="22"/>
                <w:szCs w:val="22"/>
              </w:rPr>
              <w:tab/>
            </w:r>
            <w:r w:rsidR="009975E6" w:rsidRPr="00A47314">
              <w:rPr>
                <w:rStyle w:val="Hipercze"/>
                <w:rFonts w:cs="Calibri"/>
              </w:rPr>
              <w:t>Załączniki</w:t>
            </w:r>
            <w:r w:rsidR="009975E6">
              <w:rPr>
                <w:webHidden/>
              </w:rPr>
              <w:tab/>
            </w:r>
            <w:r w:rsidR="009975E6">
              <w:rPr>
                <w:webHidden/>
              </w:rPr>
              <w:fldChar w:fldCharType="begin"/>
            </w:r>
            <w:r w:rsidR="009975E6">
              <w:rPr>
                <w:webHidden/>
              </w:rPr>
              <w:instrText xml:space="preserve"> PAGEREF _Toc176941444 \h </w:instrText>
            </w:r>
            <w:r w:rsidR="009975E6">
              <w:rPr>
                <w:webHidden/>
              </w:rPr>
            </w:r>
            <w:r w:rsidR="009975E6">
              <w:rPr>
                <w:webHidden/>
              </w:rPr>
              <w:fldChar w:fldCharType="separate"/>
            </w:r>
            <w:r w:rsidR="00CD12D0">
              <w:rPr>
                <w:webHidden/>
              </w:rPr>
              <w:t>53</w:t>
            </w:r>
            <w:r w:rsidR="009975E6">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283F1423" w:rsidR="002070A9" w:rsidRPr="00924E40" w:rsidRDefault="00924E40" w:rsidP="00CC6B38">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CC6B38">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CC6B38">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1F4E0281"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61548B">
        <w:rPr>
          <w:color w:val="000000"/>
          <w:sz w:val="24"/>
          <w:szCs w:val="24"/>
        </w:rPr>
        <w:t>Stowarzyszenie „Wspólnie dla Przyszłości”</w:t>
      </w:r>
      <w:r>
        <w:rPr>
          <w:color w:val="000000"/>
          <w:sz w:val="24"/>
          <w:szCs w:val="24"/>
        </w:rPr>
        <w:t xml:space="preserve">, która odpowiedzialna jest </w:t>
      </w:r>
      <w:r w:rsidR="00122214">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0DAA906B" w:rsidR="002070A9" w:rsidRPr="00122214" w:rsidRDefault="004358B9">
      <w:pPr>
        <w:numPr>
          <w:ilvl w:val="0"/>
          <w:numId w:val="10"/>
        </w:numPr>
        <w:pBdr>
          <w:top w:val="nil"/>
          <w:left w:val="nil"/>
          <w:bottom w:val="nil"/>
          <w:right w:val="nil"/>
          <w:between w:val="nil"/>
        </w:pBdr>
        <w:spacing w:after="120" w:line="288" w:lineRule="auto"/>
        <w:ind w:left="992" w:hanging="425"/>
        <w:rPr>
          <w:sz w:val="24"/>
          <w:szCs w:val="24"/>
        </w:rPr>
      </w:pPr>
      <w:r w:rsidRPr="00122214">
        <w:rPr>
          <w:sz w:val="24"/>
          <w:szCs w:val="24"/>
        </w:rPr>
        <w:t>k</w:t>
      </w:r>
      <w:r w:rsidR="00924E40" w:rsidRPr="00122214">
        <w:rPr>
          <w:sz w:val="24"/>
          <w:szCs w:val="24"/>
        </w:rPr>
        <w:t>ontakt LGD</w:t>
      </w:r>
      <w:r w:rsidR="00FD0484" w:rsidRPr="00122214">
        <w:rPr>
          <w:sz w:val="24"/>
          <w:szCs w:val="24"/>
        </w:rPr>
        <w:t>:</w:t>
      </w:r>
      <w:r w:rsidR="0061548B" w:rsidRPr="00122214">
        <w:rPr>
          <w:sz w:val="24"/>
          <w:szCs w:val="24"/>
        </w:rPr>
        <w:t xml:space="preserve"> </w:t>
      </w:r>
      <w:hyperlink r:id="rId17" w:history="1">
        <w:r w:rsidR="0061548B" w:rsidRPr="00122214">
          <w:rPr>
            <w:rStyle w:val="Hipercze"/>
            <w:color w:val="auto"/>
            <w:sz w:val="24"/>
            <w:szCs w:val="24"/>
          </w:rPr>
          <w:t>swdp@pleszew.pl</w:t>
        </w:r>
      </w:hyperlink>
      <w:r w:rsidR="0061548B" w:rsidRPr="00122214">
        <w:rPr>
          <w:sz w:val="24"/>
          <w:szCs w:val="24"/>
        </w:rPr>
        <w:t>, tel. 62 7416 891, 62 7416 892,</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r w:rsidR="00124F55">
        <w:fldChar w:fldCharType="begin"/>
      </w:r>
      <w:r w:rsidR="00124F55" w:rsidRPr="00124F55">
        <w:rPr>
          <w:lang w:val="de-DE"/>
        </w:rPr>
        <w:instrText xml:space="preserve"> HYPERLINK "mailto:ocenalgd@umww.pl" </w:instrText>
      </w:r>
      <w:r w:rsidR="00124F55">
        <w:fldChar w:fldCharType="separate"/>
      </w:r>
      <w:r w:rsidR="00BF3527" w:rsidRPr="001355C3">
        <w:rPr>
          <w:rStyle w:val="Hipercze"/>
          <w:color w:val="auto"/>
          <w:sz w:val="24"/>
          <w:szCs w:val="24"/>
          <w:lang w:val="de-DE"/>
        </w:rPr>
        <w:t>ocenalgd@umww.pl</w:t>
      </w:r>
      <w:r w:rsidR="00124F55">
        <w:rPr>
          <w:rStyle w:val="Hipercze"/>
          <w:color w:val="auto"/>
          <w:sz w:val="24"/>
          <w:szCs w:val="24"/>
          <w:lang w:val="de-DE"/>
        </w:rPr>
        <w:fldChar w:fldCharType="end"/>
      </w:r>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0A5B8219"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Dokumentacja naboru dostępna jest na stronie internetowej LGD </w:t>
      </w:r>
      <w:r>
        <w:rPr>
          <w:color w:val="FF0000"/>
          <w:sz w:val="24"/>
          <w:szCs w:val="24"/>
        </w:rPr>
        <w:t xml:space="preserve"> </w:t>
      </w:r>
      <w:hyperlink r:id="rId18" w:history="1">
        <w:r w:rsidR="00304D25" w:rsidRPr="00AF56EC">
          <w:rPr>
            <w:rStyle w:val="Hipercze"/>
            <w:sz w:val="24"/>
            <w:szCs w:val="24"/>
          </w:rPr>
          <w:t>www.lgd.pleszew.pl</w:t>
        </w:r>
      </w:hyperlink>
      <w:r w:rsidR="00304D25">
        <w:rPr>
          <w:color w:val="FF000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124F55">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EndPr/>
        <w:sdtContent/>
      </w:sdt>
      <w:r w:rsidR="00924E40">
        <w:rPr>
          <w:color w:val="000000"/>
          <w:sz w:val="24"/>
          <w:szCs w:val="24"/>
        </w:rPr>
        <w:t xml:space="preserve">Kultury, </w:t>
      </w:r>
    </w:p>
    <w:p w14:paraId="297A1E22" w14:textId="77777777"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6FCBC5AF" w14:textId="3E67C68B" w:rsidR="00BF3527" w:rsidRPr="00122214" w:rsidRDefault="00BF3527" w:rsidP="00CE203A">
      <w:pPr>
        <w:pBdr>
          <w:top w:val="nil"/>
          <w:left w:val="nil"/>
          <w:bottom w:val="nil"/>
          <w:right w:val="nil"/>
          <w:between w:val="nil"/>
        </w:pBdr>
        <w:spacing w:after="120" w:line="288" w:lineRule="auto"/>
        <w:rPr>
          <w:color w:val="000000"/>
          <w:sz w:val="24"/>
          <w:szCs w:val="24"/>
        </w:rPr>
      </w:pPr>
      <w:r w:rsidRPr="00122214">
        <w:rPr>
          <w:color w:val="000000"/>
          <w:sz w:val="24"/>
          <w:szCs w:val="24"/>
        </w:rPr>
        <w:t>W ramach niniejszego nabor</w:t>
      </w:r>
      <w:r w:rsidR="00C42AC0">
        <w:rPr>
          <w:color w:val="000000"/>
          <w:sz w:val="24"/>
          <w:szCs w:val="24"/>
        </w:rPr>
        <w:t>u</w:t>
      </w:r>
      <w:r w:rsidRPr="00122214">
        <w:rPr>
          <w:color w:val="000000"/>
          <w:sz w:val="24"/>
          <w:szCs w:val="24"/>
        </w:rPr>
        <w:t xml:space="preserve"> LGD przewiduje realizację  następujących typów projektów zgodnie z LSR:</w:t>
      </w:r>
    </w:p>
    <w:p w14:paraId="0EA963EB" w14:textId="77777777" w:rsidR="0061548B" w:rsidRPr="00122214" w:rsidRDefault="0061548B" w:rsidP="003A4667">
      <w:pPr>
        <w:pStyle w:val="Akapitzlist"/>
        <w:numPr>
          <w:ilvl w:val="0"/>
          <w:numId w:val="76"/>
        </w:numPr>
        <w:pBdr>
          <w:top w:val="nil"/>
          <w:left w:val="nil"/>
          <w:bottom w:val="nil"/>
          <w:right w:val="nil"/>
          <w:between w:val="nil"/>
        </w:pBdr>
        <w:spacing w:after="120" w:line="288" w:lineRule="auto"/>
        <w:ind w:left="714" w:hanging="357"/>
        <w:contextualSpacing w:val="0"/>
        <w:rPr>
          <w:color w:val="000000"/>
          <w:sz w:val="24"/>
          <w:szCs w:val="24"/>
        </w:rPr>
      </w:pPr>
      <w:r w:rsidRPr="00122214">
        <w:rPr>
          <w:color w:val="000000"/>
          <w:sz w:val="24"/>
          <w:szCs w:val="24"/>
        </w:rPr>
        <w:t>Wsparcie kultury i dziedzictwa na obszarach wiejskich,</w:t>
      </w:r>
    </w:p>
    <w:p w14:paraId="776BC7ED" w14:textId="26E2DFE1" w:rsidR="00CE203A" w:rsidRPr="00122214" w:rsidRDefault="0061548B" w:rsidP="003A4667">
      <w:pPr>
        <w:pStyle w:val="Akapitzlist"/>
        <w:numPr>
          <w:ilvl w:val="0"/>
          <w:numId w:val="76"/>
        </w:numPr>
        <w:pBdr>
          <w:top w:val="nil"/>
          <w:left w:val="nil"/>
          <w:bottom w:val="nil"/>
          <w:right w:val="nil"/>
          <w:between w:val="nil"/>
        </w:pBdr>
        <w:spacing w:after="120" w:line="288" w:lineRule="auto"/>
        <w:ind w:left="714" w:hanging="357"/>
        <w:contextualSpacing w:val="0"/>
        <w:rPr>
          <w:color w:val="000000"/>
          <w:sz w:val="24"/>
          <w:szCs w:val="24"/>
        </w:rPr>
      </w:pPr>
      <w:r w:rsidRPr="00122214">
        <w:rPr>
          <w:color w:val="000000"/>
          <w:sz w:val="24"/>
          <w:szCs w:val="24"/>
        </w:rPr>
        <w:t>Infrastruktura służąca ochronie środowiska.</w:t>
      </w:r>
    </w:p>
    <w:p w14:paraId="7CE1CAF3" w14:textId="77777777"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3A4667">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48AE0B9E" w14:textId="77777777" w:rsidR="00D908FD" w:rsidRPr="00E36C4D" w:rsidRDefault="000D0EFE" w:rsidP="003A4667">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58008E2E" w14:textId="77777777" w:rsidR="00EA1A23" w:rsidRPr="00E36C4D" w:rsidRDefault="00EA1A23" w:rsidP="003A4667">
      <w:pPr>
        <w:pStyle w:val="Akapitzlist"/>
        <w:numPr>
          <w:ilvl w:val="0"/>
          <w:numId w:val="73"/>
        </w:numPr>
        <w:spacing w:after="120" w:line="288" w:lineRule="auto"/>
        <w:ind w:left="720"/>
        <w:contextualSpacing w:val="0"/>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3A4667">
      <w:pPr>
        <w:pStyle w:val="Akapitzlist"/>
        <w:numPr>
          <w:ilvl w:val="1"/>
          <w:numId w:val="73"/>
        </w:numPr>
        <w:spacing w:after="120" w:line="288" w:lineRule="auto"/>
        <w:contextualSpacing w:val="0"/>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3A4667">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3A4494" w14:textId="77777777" w:rsidR="00EA1A23" w:rsidRPr="00E36C4D" w:rsidRDefault="00EA1A23" w:rsidP="003A4667">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3A4667">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w:t>
      </w:r>
      <w:r w:rsidR="00673C7A" w:rsidRPr="00122214">
        <w:rPr>
          <w:sz w:val="24"/>
          <w:szCs w:val="24"/>
        </w:rPr>
        <w:t xml:space="preserve"> turystyki</w:t>
      </w:r>
      <w:r w:rsidR="000675CD" w:rsidRPr="00122214">
        <w:rPr>
          <w:sz w:val="24"/>
          <w:szCs w:val="24"/>
        </w:rPr>
        <w:t xml:space="preserve"> </w:t>
      </w:r>
      <w:r w:rsidR="000675CD" w:rsidRPr="00E36C4D">
        <w:rPr>
          <w:color w:val="000000"/>
          <w:sz w:val="24"/>
          <w:szCs w:val="24"/>
        </w:rPr>
        <w:t xml:space="preserve">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FA2EA6">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22A2CDF4"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0061548B" w:rsidRPr="003D3F44">
        <w:rPr>
          <w:color w:val="000000"/>
          <w:sz w:val="24"/>
          <w:szCs w:val="24"/>
        </w:rPr>
        <w:t>realiz</w:t>
      </w:r>
      <w:r w:rsidR="0061548B">
        <w:rPr>
          <w:color w:val="000000"/>
          <w:sz w:val="24"/>
          <w:szCs w:val="24"/>
        </w:rPr>
        <w:t>ację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124F55">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562B683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5A48CC88"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podmioty ekonomii społecznej.</w:t>
      </w:r>
    </w:p>
    <w:p w14:paraId="35DB681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 xml:space="preserve">Lokalne Grupy Działania. </w:t>
      </w:r>
    </w:p>
    <w:p w14:paraId="3D35A076" w14:textId="77777777" w:rsidR="002070A9" w:rsidRDefault="00924E40">
      <w:pPr>
        <w:spacing w:after="120" w:line="288" w:lineRule="auto"/>
        <w:ind w:left="360"/>
        <w:rPr>
          <w:sz w:val="24"/>
          <w:szCs w:val="24"/>
        </w:rPr>
      </w:pPr>
      <w:r>
        <w:rPr>
          <w:sz w:val="24"/>
          <w:szCs w:val="24"/>
        </w:rPr>
        <w:t xml:space="preserve">Wskazane podmioty muszą być zgodne z SZOP i szczególnym katalogiem wynikającym z LSR danej LGD. </w:t>
      </w:r>
    </w:p>
    <w:p w14:paraId="4D59A1BD" w14:textId="77777777" w:rsidR="00BF3527" w:rsidRPr="00122214" w:rsidRDefault="00BF3527" w:rsidP="00BF3527">
      <w:pPr>
        <w:pBdr>
          <w:top w:val="nil"/>
          <w:left w:val="nil"/>
          <w:bottom w:val="nil"/>
          <w:right w:val="nil"/>
          <w:between w:val="nil"/>
        </w:pBdr>
        <w:spacing w:after="120" w:line="288" w:lineRule="auto"/>
        <w:rPr>
          <w:color w:val="000000"/>
          <w:sz w:val="24"/>
          <w:szCs w:val="24"/>
        </w:rPr>
      </w:pPr>
      <w:r w:rsidRPr="00122214">
        <w:rPr>
          <w:color w:val="000000"/>
          <w:sz w:val="24"/>
          <w:szCs w:val="24"/>
        </w:rPr>
        <w:t>Niniejszy nabór skierowany jest do następujących podmiotów zgodnie z LSR:</w:t>
      </w:r>
    </w:p>
    <w:p w14:paraId="6C3E9A5D" w14:textId="39423B56" w:rsidR="0061548B" w:rsidRPr="00122214" w:rsidRDefault="00304D25" w:rsidP="003A4667">
      <w:pPr>
        <w:pStyle w:val="Akapitzlist"/>
        <w:numPr>
          <w:ilvl w:val="0"/>
          <w:numId w:val="77"/>
        </w:numPr>
        <w:spacing w:after="120" w:line="288" w:lineRule="auto"/>
        <w:ind w:left="714" w:hanging="357"/>
        <w:contextualSpacing w:val="0"/>
        <w:rPr>
          <w:sz w:val="24"/>
          <w:szCs w:val="24"/>
        </w:rPr>
      </w:pPr>
      <w:r>
        <w:rPr>
          <w:sz w:val="24"/>
          <w:szCs w:val="24"/>
        </w:rPr>
        <w:t xml:space="preserve">Jednostki Sektora Finansów Publicznych </w:t>
      </w:r>
      <w:r w:rsidR="0061548B" w:rsidRPr="00122214">
        <w:rPr>
          <w:sz w:val="24"/>
          <w:szCs w:val="24"/>
        </w:rPr>
        <w:t>i ich jednostki,</w:t>
      </w:r>
    </w:p>
    <w:p w14:paraId="158E7138" w14:textId="0FC9A436" w:rsidR="0061548B" w:rsidRPr="00122214" w:rsidRDefault="00122214" w:rsidP="003A4667">
      <w:pPr>
        <w:pStyle w:val="Akapitzlist"/>
        <w:numPr>
          <w:ilvl w:val="0"/>
          <w:numId w:val="77"/>
        </w:numPr>
        <w:spacing w:after="120" w:line="288" w:lineRule="auto"/>
        <w:ind w:left="714" w:hanging="357"/>
        <w:contextualSpacing w:val="0"/>
        <w:rPr>
          <w:sz w:val="24"/>
          <w:szCs w:val="24"/>
        </w:rPr>
      </w:pPr>
      <w:r>
        <w:rPr>
          <w:sz w:val="24"/>
          <w:szCs w:val="24"/>
        </w:rPr>
        <w:t>Organizacje pozarządowe</w:t>
      </w:r>
    </w:p>
    <w:p w14:paraId="7272EA60" w14:textId="77777777" w:rsidR="0061548B" w:rsidRPr="00122214" w:rsidRDefault="0061548B" w:rsidP="003A4667">
      <w:pPr>
        <w:pStyle w:val="Akapitzlist"/>
        <w:numPr>
          <w:ilvl w:val="0"/>
          <w:numId w:val="77"/>
        </w:numPr>
        <w:spacing w:after="120" w:line="288" w:lineRule="auto"/>
        <w:ind w:left="714" w:hanging="357"/>
        <w:contextualSpacing w:val="0"/>
        <w:rPr>
          <w:sz w:val="24"/>
          <w:szCs w:val="24"/>
        </w:rPr>
      </w:pPr>
      <w:r w:rsidRPr="00122214">
        <w:rPr>
          <w:sz w:val="24"/>
          <w:szCs w:val="24"/>
        </w:rPr>
        <w:t>Instytucje nauki i edukacji,</w:t>
      </w:r>
    </w:p>
    <w:p w14:paraId="029EA575" w14:textId="66DC5EFA" w:rsidR="00BF3527" w:rsidRPr="00122214" w:rsidRDefault="00122214" w:rsidP="003A4667">
      <w:pPr>
        <w:pStyle w:val="Akapitzlist"/>
        <w:numPr>
          <w:ilvl w:val="0"/>
          <w:numId w:val="77"/>
        </w:numPr>
        <w:spacing w:after="120" w:line="288" w:lineRule="auto"/>
        <w:ind w:left="714" w:hanging="357"/>
        <w:contextualSpacing w:val="0"/>
        <w:rPr>
          <w:sz w:val="24"/>
          <w:szCs w:val="24"/>
        </w:rPr>
      </w:pPr>
      <w:r>
        <w:rPr>
          <w:sz w:val="24"/>
          <w:szCs w:val="24"/>
        </w:rPr>
        <w:t>Kościoły i z</w:t>
      </w:r>
      <w:r w:rsidR="0061548B" w:rsidRPr="00122214">
        <w:rPr>
          <w:sz w:val="24"/>
          <w:szCs w:val="24"/>
        </w:rPr>
        <w:t>wiązki wyznaniowe.</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6941420"/>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p>
    <w:p w14:paraId="286818F7" w14:textId="082025FE" w:rsidR="002070A9" w:rsidRPr="00122214" w:rsidRDefault="00924E40">
      <w:pPr>
        <w:numPr>
          <w:ilvl w:val="0"/>
          <w:numId w:val="61"/>
        </w:numPr>
        <w:pBdr>
          <w:top w:val="nil"/>
          <w:left w:val="nil"/>
          <w:bottom w:val="nil"/>
          <w:right w:val="nil"/>
          <w:between w:val="nil"/>
        </w:pBdr>
        <w:spacing w:after="120" w:line="288" w:lineRule="auto"/>
        <w:ind w:hanging="360"/>
        <w:rPr>
          <w:sz w:val="24"/>
          <w:szCs w:val="24"/>
        </w:rPr>
      </w:pPr>
      <w:bookmarkStart w:id="9" w:name="_Hlk177031636"/>
      <w:r w:rsidRPr="00122214">
        <w:rPr>
          <w:sz w:val="24"/>
          <w:szCs w:val="24"/>
        </w:rPr>
        <w:t xml:space="preserve">Kwota przeznaczona na dofinansowanie projektów w ramach naboru wynosi </w:t>
      </w:r>
      <w:r w:rsidR="00A618A2" w:rsidRPr="00122214">
        <w:rPr>
          <w:b/>
          <w:sz w:val="24"/>
          <w:szCs w:val="24"/>
        </w:rPr>
        <w:t>2 395 068,75</w:t>
      </w:r>
      <w:bookmarkEnd w:id="9"/>
      <w:r w:rsidRPr="00122214">
        <w:rPr>
          <w:b/>
          <w:sz w:val="24"/>
          <w:szCs w:val="24"/>
          <w:vertAlign w:val="superscript"/>
        </w:rPr>
        <w:footnoteReference w:id="3"/>
      </w:r>
      <w:r w:rsidRPr="00122214">
        <w:rPr>
          <w:b/>
          <w:sz w:val="24"/>
          <w:szCs w:val="24"/>
        </w:rPr>
        <w:t xml:space="preserve"> PLN </w:t>
      </w:r>
      <w:r w:rsidRPr="00122214">
        <w:rPr>
          <w:sz w:val="24"/>
          <w:szCs w:val="24"/>
        </w:rPr>
        <w:t>(</w:t>
      </w:r>
      <w:sdt>
        <w:sdtPr>
          <w:tag w:val="goog_rdk_8"/>
          <w:id w:val="854378080"/>
        </w:sdtPr>
        <w:sdtEndPr/>
        <w:sdtContent/>
      </w:sdt>
      <w:r w:rsidRPr="00122214">
        <w:rPr>
          <w:sz w:val="24"/>
          <w:szCs w:val="24"/>
        </w:rPr>
        <w:t xml:space="preserve">słownie: </w:t>
      </w:r>
      <w:r w:rsidR="00A618A2" w:rsidRPr="00122214">
        <w:rPr>
          <w:sz w:val="24"/>
          <w:szCs w:val="24"/>
        </w:rPr>
        <w:t xml:space="preserve"> dwa miliony trzysta dziewięćdziesiąt pięć tysięcy sześćdziesiąt osiem złotych 75/100</w:t>
      </w:r>
      <w:r w:rsidRPr="00122214">
        <w:rPr>
          <w:sz w:val="24"/>
          <w:szCs w:val="24"/>
        </w:rPr>
        <w:t xml:space="preserve">, w tym: </w:t>
      </w:r>
    </w:p>
    <w:p w14:paraId="3C927893" w14:textId="79AD6096" w:rsidR="002070A9" w:rsidRPr="00122214" w:rsidRDefault="00924E40">
      <w:pPr>
        <w:spacing w:after="120" w:line="288" w:lineRule="auto"/>
        <w:ind w:left="567"/>
        <w:rPr>
          <w:sz w:val="24"/>
          <w:szCs w:val="24"/>
        </w:rPr>
      </w:pPr>
      <w:r w:rsidRPr="00122214">
        <w:rPr>
          <w:sz w:val="24"/>
          <w:szCs w:val="24"/>
        </w:rPr>
        <w:t xml:space="preserve">– EFRR </w:t>
      </w:r>
      <w:r w:rsidR="00A618A2" w:rsidRPr="003A4667">
        <w:rPr>
          <w:b/>
          <w:sz w:val="24"/>
          <w:szCs w:val="24"/>
        </w:rPr>
        <w:t>2 128 950</w:t>
      </w:r>
      <w:r w:rsidRPr="003A4667">
        <w:rPr>
          <w:b/>
          <w:sz w:val="24"/>
          <w:szCs w:val="24"/>
        </w:rPr>
        <w:t xml:space="preserve"> PLN</w:t>
      </w:r>
      <w:r w:rsidRPr="00122214">
        <w:rPr>
          <w:sz w:val="24"/>
          <w:szCs w:val="24"/>
        </w:rPr>
        <w:t xml:space="preserve"> (słownie:</w:t>
      </w:r>
      <w:r w:rsidR="00A618A2" w:rsidRPr="00122214">
        <w:rPr>
          <w:sz w:val="24"/>
          <w:szCs w:val="24"/>
        </w:rPr>
        <w:t xml:space="preserve"> dwa miliony sto dwadzieścia osiem tysięcy dziewięćset pięćdziesiąt złotych 00/100</w:t>
      </w:r>
      <w:r w:rsidRPr="00122214">
        <w:rPr>
          <w:sz w:val="24"/>
          <w:szCs w:val="24"/>
        </w:rPr>
        <w:t>)</w:t>
      </w:r>
    </w:p>
    <w:p w14:paraId="5A2865C2" w14:textId="7C1AC23A" w:rsidR="002070A9" w:rsidRPr="00C603F1" w:rsidRDefault="00924E40">
      <w:pPr>
        <w:pBdr>
          <w:top w:val="nil"/>
          <w:left w:val="nil"/>
          <w:bottom w:val="nil"/>
          <w:right w:val="nil"/>
          <w:between w:val="nil"/>
        </w:pBdr>
        <w:spacing w:after="120" w:line="288" w:lineRule="auto"/>
        <w:ind w:left="567"/>
        <w:rPr>
          <w:sz w:val="24"/>
          <w:szCs w:val="24"/>
        </w:rPr>
      </w:pPr>
      <w:r w:rsidRPr="00122214">
        <w:rPr>
          <w:sz w:val="24"/>
          <w:szCs w:val="24"/>
        </w:rPr>
        <w:t xml:space="preserve">– budżet państwa </w:t>
      </w:r>
      <w:r w:rsidR="00A618A2" w:rsidRPr="00122214">
        <w:rPr>
          <w:sz w:val="24"/>
          <w:szCs w:val="24"/>
        </w:rPr>
        <w:t xml:space="preserve"> </w:t>
      </w:r>
      <w:r w:rsidR="00A618A2" w:rsidRPr="003A4667">
        <w:rPr>
          <w:b/>
          <w:sz w:val="24"/>
          <w:szCs w:val="24"/>
        </w:rPr>
        <w:t>2</w:t>
      </w:r>
      <w:r w:rsidR="003E5847" w:rsidRPr="003A4667">
        <w:rPr>
          <w:b/>
          <w:sz w:val="24"/>
          <w:szCs w:val="24"/>
        </w:rPr>
        <w:t>6</w:t>
      </w:r>
      <w:r w:rsidR="00A618A2" w:rsidRPr="003A4667">
        <w:rPr>
          <w:b/>
          <w:sz w:val="24"/>
          <w:szCs w:val="24"/>
        </w:rPr>
        <w:t>6 118,75</w:t>
      </w:r>
      <w:r w:rsidRPr="003A4667">
        <w:rPr>
          <w:b/>
          <w:sz w:val="24"/>
          <w:szCs w:val="24"/>
        </w:rPr>
        <w:t xml:space="preserve"> PLN</w:t>
      </w:r>
      <w:r w:rsidRPr="00122214">
        <w:rPr>
          <w:sz w:val="24"/>
          <w:szCs w:val="24"/>
        </w:rPr>
        <w:t xml:space="preserve"> (słownie:</w:t>
      </w:r>
      <w:r w:rsidR="00A618A2" w:rsidRPr="00122214">
        <w:rPr>
          <w:sz w:val="24"/>
          <w:szCs w:val="24"/>
        </w:rPr>
        <w:t xml:space="preserve"> dwieście sześćdziesiąt sześć tysięcy sto osiemnaście złotych 75/100</w:t>
      </w:r>
      <w:r w:rsidRPr="00122214">
        <w:rPr>
          <w:sz w:val="24"/>
          <w:szCs w:val="24"/>
        </w:rPr>
        <w:t>).</w:t>
      </w:r>
    </w:p>
    <w:p w14:paraId="0A80F5EF" w14:textId="131510A9" w:rsidR="001F5BB6" w:rsidRPr="00122214" w:rsidRDefault="00DA53EF" w:rsidP="00122214">
      <w:pPr>
        <w:pBdr>
          <w:top w:val="nil"/>
          <w:left w:val="nil"/>
          <w:bottom w:val="nil"/>
          <w:right w:val="nil"/>
          <w:between w:val="nil"/>
        </w:pBdr>
        <w:spacing w:after="120" w:line="288" w:lineRule="auto"/>
        <w:ind w:left="567"/>
        <w:rPr>
          <w:b/>
          <w:sz w:val="24"/>
          <w:szCs w:val="24"/>
        </w:rPr>
      </w:pPr>
      <w:r w:rsidRPr="00C603F1">
        <w:rPr>
          <w:sz w:val="24"/>
          <w:szCs w:val="24"/>
        </w:rPr>
        <w:t xml:space="preserve">Dla </w:t>
      </w:r>
      <w:r w:rsidR="001F5BB6" w:rsidRPr="00C603F1">
        <w:rPr>
          <w:sz w:val="24"/>
          <w:szCs w:val="24"/>
        </w:rPr>
        <w:t xml:space="preserve">przedsięwzięcia II.4 </w:t>
      </w:r>
      <w:r w:rsidR="00304D25">
        <w:rPr>
          <w:sz w:val="24"/>
          <w:szCs w:val="24"/>
        </w:rPr>
        <w:t xml:space="preserve"> Wsparcie kultury i dziedzictwa na obszarach wiejskich </w:t>
      </w:r>
      <w:r w:rsidR="001F5BB6" w:rsidRPr="00122214">
        <w:rPr>
          <w:sz w:val="24"/>
          <w:szCs w:val="24"/>
        </w:rPr>
        <w:t xml:space="preserve">kwota przeznaczona na dofinansowanie projektów w ramach naboru wynosi </w:t>
      </w:r>
      <w:bookmarkStart w:id="10" w:name="_Hlk177031843"/>
      <w:r w:rsidR="001F5BB6" w:rsidRPr="00C603F1">
        <w:rPr>
          <w:b/>
          <w:sz w:val="24"/>
          <w:szCs w:val="24"/>
        </w:rPr>
        <w:t xml:space="preserve">1 111 162,50 PLN </w:t>
      </w:r>
      <w:r w:rsidR="001F5BB6" w:rsidRPr="00C603F1">
        <w:rPr>
          <w:bCs/>
          <w:sz w:val="24"/>
          <w:szCs w:val="24"/>
        </w:rPr>
        <w:t xml:space="preserve">(słownie: jeden milion sto jedenaście tysięcy sto sześćdziesiąt dwa złote 50/100) </w:t>
      </w:r>
      <w:bookmarkEnd w:id="10"/>
      <w:r w:rsidR="001F5BB6" w:rsidRPr="00C603F1">
        <w:rPr>
          <w:sz w:val="24"/>
          <w:szCs w:val="24"/>
        </w:rPr>
        <w:t xml:space="preserve">w tym: </w:t>
      </w:r>
    </w:p>
    <w:p w14:paraId="10677E43" w14:textId="09D52EA7" w:rsidR="001F5BB6" w:rsidRPr="00C603F1" w:rsidRDefault="001F5BB6" w:rsidP="001F5BB6">
      <w:pPr>
        <w:spacing w:after="120" w:line="288" w:lineRule="auto"/>
        <w:ind w:left="567"/>
        <w:rPr>
          <w:sz w:val="24"/>
          <w:szCs w:val="24"/>
        </w:rPr>
      </w:pPr>
      <w:r w:rsidRPr="00C603F1">
        <w:rPr>
          <w:sz w:val="24"/>
          <w:szCs w:val="24"/>
        </w:rPr>
        <w:t>– EFRR 987 700,00 PLN (słownie: dziewięćset osiemdziesiąt siedem tysięcy siedemset złotych) 00/100)</w:t>
      </w:r>
    </w:p>
    <w:p w14:paraId="6D6378CC" w14:textId="0D3DA1DB" w:rsidR="001F5BB6" w:rsidRPr="00C603F1" w:rsidRDefault="001F5BB6" w:rsidP="001F5BB6">
      <w:pPr>
        <w:pBdr>
          <w:top w:val="nil"/>
          <w:left w:val="nil"/>
          <w:bottom w:val="nil"/>
          <w:right w:val="nil"/>
          <w:between w:val="nil"/>
        </w:pBdr>
        <w:spacing w:after="120" w:line="288" w:lineRule="auto"/>
        <w:ind w:left="567"/>
        <w:rPr>
          <w:sz w:val="24"/>
          <w:szCs w:val="24"/>
        </w:rPr>
      </w:pPr>
      <w:r w:rsidRPr="00C603F1">
        <w:rPr>
          <w:sz w:val="24"/>
          <w:szCs w:val="24"/>
        </w:rPr>
        <w:t>– budżet państwa 123 462,50 PLN (słownie: sto dwadzieścia trzy tysiące czterysta sześćdziesiąt dwa złote 50/100).</w:t>
      </w:r>
    </w:p>
    <w:p w14:paraId="428CA000" w14:textId="7F404163" w:rsidR="001F5BB6" w:rsidRPr="00C603F1" w:rsidRDefault="001F5BB6" w:rsidP="001F5BB6">
      <w:pPr>
        <w:pBdr>
          <w:top w:val="nil"/>
          <w:left w:val="nil"/>
          <w:bottom w:val="nil"/>
          <w:right w:val="nil"/>
          <w:between w:val="nil"/>
        </w:pBdr>
        <w:spacing w:after="120" w:line="288" w:lineRule="auto"/>
        <w:ind w:left="567"/>
        <w:rPr>
          <w:b/>
          <w:sz w:val="24"/>
          <w:szCs w:val="24"/>
        </w:rPr>
      </w:pPr>
      <w:r w:rsidRPr="00C603F1">
        <w:rPr>
          <w:sz w:val="24"/>
          <w:szCs w:val="24"/>
        </w:rPr>
        <w:t xml:space="preserve">Dla przedsięwzięcia III.1 </w:t>
      </w:r>
      <w:r w:rsidR="00304D25">
        <w:rPr>
          <w:sz w:val="24"/>
          <w:szCs w:val="24"/>
        </w:rPr>
        <w:t xml:space="preserve"> Infrastruktura służąca ochronie środowiska </w:t>
      </w:r>
      <w:r w:rsidRPr="00C603F1">
        <w:rPr>
          <w:sz w:val="24"/>
          <w:szCs w:val="24"/>
        </w:rPr>
        <w:t xml:space="preserve">kwota przeznaczona na dofinansowanie projektów w ramach naboru wynosi </w:t>
      </w:r>
      <w:r w:rsidRPr="00C603F1">
        <w:rPr>
          <w:b/>
          <w:sz w:val="24"/>
          <w:szCs w:val="24"/>
        </w:rPr>
        <w:t>1 1</w:t>
      </w:r>
      <w:r w:rsidR="00F402F4">
        <w:rPr>
          <w:b/>
          <w:sz w:val="24"/>
          <w:szCs w:val="24"/>
        </w:rPr>
        <w:t>83</w:t>
      </w:r>
      <w:r w:rsidRPr="00C603F1">
        <w:rPr>
          <w:b/>
          <w:sz w:val="24"/>
          <w:szCs w:val="24"/>
        </w:rPr>
        <w:t xml:space="preserve"> 906,25 PLN </w:t>
      </w:r>
      <w:r w:rsidRPr="00C603F1">
        <w:rPr>
          <w:bCs/>
          <w:sz w:val="24"/>
          <w:szCs w:val="24"/>
        </w:rPr>
        <w:t xml:space="preserve">(słownie: jeden milion sto </w:t>
      </w:r>
      <w:r w:rsidR="00F402F4">
        <w:rPr>
          <w:bCs/>
          <w:sz w:val="24"/>
          <w:szCs w:val="24"/>
        </w:rPr>
        <w:t>osiemdziesiąt trzy tysiące</w:t>
      </w:r>
      <w:r w:rsidRPr="00C603F1">
        <w:rPr>
          <w:bCs/>
          <w:sz w:val="24"/>
          <w:szCs w:val="24"/>
        </w:rPr>
        <w:t xml:space="preserve"> dziewięćset sześć złotych 25/100) </w:t>
      </w:r>
      <w:r w:rsidRPr="00C603F1">
        <w:rPr>
          <w:sz w:val="24"/>
          <w:szCs w:val="24"/>
        </w:rPr>
        <w:t xml:space="preserve">w tym: </w:t>
      </w:r>
    </w:p>
    <w:p w14:paraId="27E2F319" w14:textId="508C0C17" w:rsidR="001F5BB6" w:rsidRPr="00C603F1" w:rsidRDefault="001F5BB6" w:rsidP="001F5BB6">
      <w:pPr>
        <w:spacing w:after="120" w:line="288" w:lineRule="auto"/>
        <w:ind w:left="567"/>
        <w:rPr>
          <w:sz w:val="24"/>
          <w:szCs w:val="24"/>
        </w:rPr>
      </w:pPr>
      <w:r w:rsidRPr="00C603F1">
        <w:rPr>
          <w:sz w:val="24"/>
          <w:szCs w:val="24"/>
        </w:rPr>
        <w:t xml:space="preserve">– EFRR </w:t>
      </w:r>
      <w:r w:rsidR="00C603F1" w:rsidRPr="00C603F1">
        <w:rPr>
          <w:sz w:val="24"/>
          <w:szCs w:val="24"/>
        </w:rPr>
        <w:t>1 141 250</w:t>
      </w:r>
      <w:r w:rsidRPr="00C603F1">
        <w:rPr>
          <w:sz w:val="24"/>
          <w:szCs w:val="24"/>
        </w:rPr>
        <w:t xml:space="preserve">,00 PLN (słownie: </w:t>
      </w:r>
      <w:r w:rsidR="00C603F1" w:rsidRPr="00C603F1">
        <w:rPr>
          <w:sz w:val="24"/>
          <w:szCs w:val="24"/>
        </w:rPr>
        <w:t>jeden milion sto czterdzieści jeden tysięcy dwieście pięćdziesiąt złotych</w:t>
      </w:r>
      <w:r w:rsidRPr="00C603F1">
        <w:rPr>
          <w:sz w:val="24"/>
          <w:szCs w:val="24"/>
        </w:rPr>
        <w:t>) 00/100)</w:t>
      </w:r>
    </w:p>
    <w:p w14:paraId="321A74DD" w14:textId="6B1B4D97" w:rsidR="001F5BB6" w:rsidRPr="00122214" w:rsidRDefault="001F5BB6" w:rsidP="00C603F1">
      <w:pPr>
        <w:pBdr>
          <w:top w:val="nil"/>
          <w:left w:val="nil"/>
          <w:bottom w:val="nil"/>
          <w:right w:val="nil"/>
          <w:between w:val="nil"/>
        </w:pBdr>
        <w:spacing w:after="120" w:line="288" w:lineRule="auto"/>
        <w:ind w:left="567"/>
        <w:rPr>
          <w:sz w:val="24"/>
          <w:szCs w:val="24"/>
        </w:rPr>
      </w:pPr>
      <w:r w:rsidRPr="00C603F1">
        <w:rPr>
          <w:sz w:val="24"/>
          <w:szCs w:val="24"/>
        </w:rPr>
        <w:t>– budżet państwa 1</w:t>
      </w:r>
      <w:r w:rsidR="00C603F1" w:rsidRPr="00C603F1">
        <w:rPr>
          <w:sz w:val="24"/>
          <w:szCs w:val="24"/>
        </w:rPr>
        <w:t>42</w:t>
      </w:r>
      <w:r w:rsidRPr="00C603F1">
        <w:rPr>
          <w:sz w:val="24"/>
          <w:szCs w:val="24"/>
        </w:rPr>
        <w:t> </w:t>
      </w:r>
      <w:r w:rsidR="00C603F1" w:rsidRPr="00C603F1">
        <w:rPr>
          <w:sz w:val="24"/>
          <w:szCs w:val="24"/>
        </w:rPr>
        <w:t>656</w:t>
      </w:r>
      <w:r w:rsidRPr="00C603F1">
        <w:rPr>
          <w:sz w:val="24"/>
          <w:szCs w:val="24"/>
        </w:rPr>
        <w:t>,</w:t>
      </w:r>
      <w:r w:rsidR="00C603F1" w:rsidRPr="00C603F1">
        <w:rPr>
          <w:sz w:val="24"/>
          <w:szCs w:val="24"/>
        </w:rPr>
        <w:t>25</w:t>
      </w:r>
      <w:r w:rsidRPr="00C603F1">
        <w:rPr>
          <w:sz w:val="24"/>
          <w:szCs w:val="24"/>
        </w:rPr>
        <w:t xml:space="preserve"> PLN (słownie: sto </w:t>
      </w:r>
      <w:r w:rsidR="00C603F1" w:rsidRPr="00C603F1">
        <w:rPr>
          <w:sz w:val="24"/>
          <w:szCs w:val="24"/>
        </w:rPr>
        <w:t>czterdzieści dwa</w:t>
      </w:r>
      <w:r w:rsidRPr="00C603F1">
        <w:rPr>
          <w:sz w:val="24"/>
          <w:szCs w:val="24"/>
        </w:rPr>
        <w:t xml:space="preserve"> tysiące </w:t>
      </w:r>
      <w:r w:rsidR="00C603F1" w:rsidRPr="00C603F1">
        <w:rPr>
          <w:sz w:val="24"/>
          <w:szCs w:val="24"/>
        </w:rPr>
        <w:t>sześćset pięćdziesiąt sześć złotych 25</w:t>
      </w:r>
      <w:r w:rsidRPr="00C603F1">
        <w:rPr>
          <w:sz w:val="24"/>
          <w:szCs w:val="24"/>
        </w:rPr>
        <w:t>/100).</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11" w:name="_Toc176941423"/>
      <w:r>
        <w:rPr>
          <w:rFonts w:ascii="Calibri" w:eastAsia="Calibri" w:hAnsi="Calibri" w:cs="Calibri"/>
          <w:sz w:val="28"/>
          <w:szCs w:val="28"/>
        </w:rPr>
        <w:t>Infrastruktura pomocnicza</w:t>
      </w:r>
      <w:bookmarkEnd w:id="11"/>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2" w:name="_Toc176941424"/>
      <w:r>
        <w:rPr>
          <w:rFonts w:ascii="Calibri" w:eastAsia="Calibri" w:hAnsi="Calibri" w:cs="Calibri"/>
          <w:sz w:val="28"/>
          <w:szCs w:val="28"/>
        </w:rPr>
        <w:t>Ogólne zasady dotyczące naboru oraz realizacji projektów</w:t>
      </w:r>
      <w:bookmarkEnd w:id="12"/>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3" w:name="_Toc176941425"/>
      <w:r>
        <w:rPr>
          <w:rFonts w:ascii="Calibri" w:eastAsia="Calibri" w:hAnsi="Calibri" w:cs="Calibri"/>
          <w:sz w:val="28"/>
          <w:szCs w:val="28"/>
        </w:rPr>
        <w:t>Kwalifikowalność wydatków</w:t>
      </w:r>
      <w:bookmarkEnd w:id="13"/>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7CBA5E5E" w14:textId="4732FFA3" w:rsidR="002070A9" w:rsidRDefault="00124F55">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r>
        <w:rPr>
          <w:color w:val="000000"/>
          <w:sz w:val="24"/>
          <w:szCs w:val="24"/>
        </w:rPr>
        <w:t>,</w:t>
      </w:r>
      <w:bookmarkStart w:id="14" w:name="_GoBack"/>
      <w:bookmarkEnd w:id="14"/>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cross-financingu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09E1CF91" w:rsidR="0057363F" w:rsidRPr="003A4667" w:rsidRDefault="0086699B">
      <w:pPr>
        <w:numPr>
          <w:ilvl w:val="0"/>
          <w:numId w:val="1"/>
        </w:numPr>
        <w:pBdr>
          <w:top w:val="nil"/>
          <w:left w:val="nil"/>
          <w:bottom w:val="nil"/>
          <w:right w:val="nil"/>
          <w:between w:val="nil"/>
        </w:pBdr>
        <w:spacing w:after="120" w:line="288" w:lineRule="auto"/>
        <w:rPr>
          <w:sz w:val="24"/>
          <w:szCs w:val="24"/>
        </w:rPr>
      </w:pPr>
      <w:r w:rsidRPr="003A4667">
        <w:rPr>
          <w:sz w:val="24"/>
          <w:szCs w:val="24"/>
        </w:rPr>
        <w:t>wydatki</w:t>
      </w:r>
      <w:r w:rsidR="0057363F" w:rsidRPr="003A4667">
        <w:rPr>
          <w:sz w:val="24"/>
          <w:szCs w:val="24"/>
        </w:rPr>
        <w:t xml:space="preserve"> związane z instalacjami OZE służącymi do wytwarzania i magazynowania energii powyżej 20% kosztów kwalifikowalnych projektu,</w:t>
      </w:r>
    </w:p>
    <w:p w14:paraId="1588D380" w14:textId="77777777" w:rsidR="009A5872" w:rsidRPr="003A4667" w:rsidRDefault="002A07B0">
      <w:pPr>
        <w:numPr>
          <w:ilvl w:val="0"/>
          <w:numId w:val="1"/>
        </w:numPr>
        <w:pBdr>
          <w:top w:val="nil"/>
          <w:left w:val="nil"/>
          <w:bottom w:val="nil"/>
          <w:right w:val="nil"/>
          <w:between w:val="nil"/>
        </w:pBdr>
        <w:spacing w:after="120" w:line="288" w:lineRule="auto"/>
        <w:rPr>
          <w:sz w:val="24"/>
          <w:szCs w:val="24"/>
        </w:rPr>
      </w:pPr>
      <w:r w:rsidRPr="003A4667">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3A4667" w:rsidRDefault="009A5872">
      <w:pPr>
        <w:numPr>
          <w:ilvl w:val="0"/>
          <w:numId w:val="1"/>
        </w:numPr>
        <w:pBdr>
          <w:top w:val="nil"/>
          <w:left w:val="nil"/>
          <w:bottom w:val="nil"/>
          <w:right w:val="nil"/>
          <w:between w:val="nil"/>
        </w:pBdr>
        <w:spacing w:after="120" w:line="288" w:lineRule="auto"/>
        <w:rPr>
          <w:sz w:val="24"/>
          <w:szCs w:val="24"/>
        </w:rPr>
      </w:pPr>
      <w:r w:rsidRPr="003A4667">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5" w:name="_Toc176941426"/>
      <w:r>
        <w:rPr>
          <w:rFonts w:ascii="Calibri" w:eastAsia="Calibri" w:hAnsi="Calibri" w:cs="Calibri"/>
          <w:color w:val="2E74B5"/>
          <w:sz w:val="28"/>
          <w:szCs w:val="28"/>
        </w:rPr>
        <w:t>Uproszczone metody rozliczania wydatków</w:t>
      </w:r>
      <w:bookmarkEnd w:id="15"/>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33908DB1" w:rsidR="002070A9" w:rsidRDefault="00924E40">
      <w:pPr>
        <w:pStyle w:val="Nagwek2"/>
        <w:numPr>
          <w:ilvl w:val="0"/>
          <w:numId w:val="62"/>
        </w:numPr>
        <w:spacing w:before="240" w:after="120"/>
        <w:ind w:left="284" w:hanging="284"/>
        <w:rPr>
          <w:rFonts w:ascii="Arial" w:eastAsia="Arial" w:hAnsi="Arial" w:cs="Arial"/>
          <w:sz w:val="24"/>
          <w:szCs w:val="24"/>
        </w:rPr>
      </w:pPr>
      <w:bookmarkStart w:id="16" w:name="_Toc176941427"/>
      <w:r>
        <w:rPr>
          <w:rFonts w:ascii="Calibri" w:eastAsia="Calibri" w:hAnsi="Calibri" w:cs="Calibri"/>
          <w:sz w:val="28"/>
          <w:szCs w:val="28"/>
        </w:rPr>
        <w:t>Partnerstwo</w:t>
      </w:r>
      <w:bookmarkEnd w:id="16"/>
      <w:r w:rsidR="00CD12D0">
        <w:rPr>
          <w:rStyle w:val="Odwoanieprzypisudolnego"/>
          <w:rFonts w:ascii="Calibri" w:eastAsia="Calibri" w:hAnsi="Calibri" w:cs="Calibri"/>
          <w:sz w:val="28"/>
          <w:szCs w:val="28"/>
        </w:rPr>
        <w:footnoteReference w:id="9"/>
      </w:r>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77777777" w:rsidR="002070A9"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p>
    <w:p w14:paraId="593CD326" w14:textId="7852A963" w:rsidR="002070A9" w:rsidRDefault="003A4667">
      <w:pPr>
        <w:spacing w:after="120" w:line="288" w:lineRule="auto"/>
        <w:rPr>
          <w:strike/>
          <w:color w:val="000000"/>
          <w:sz w:val="24"/>
          <w:szCs w:val="24"/>
        </w:rPr>
      </w:pPr>
      <w:r>
        <w:rPr>
          <w:strike/>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7" w:name="_Toc176941428"/>
      <w:r w:rsidR="00924E40">
        <w:rPr>
          <w:rFonts w:ascii="Calibri" w:eastAsia="Calibri" w:hAnsi="Calibri" w:cs="Calibri"/>
          <w:color w:val="FFFFFF"/>
          <w:sz w:val="48"/>
          <w:szCs w:val="48"/>
        </w:rPr>
        <w:t>Zasady horyzontalne i środowiskowe</w:t>
      </w:r>
      <w:bookmarkEnd w:id="17"/>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76941429"/>
      <w:r>
        <w:rPr>
          <w:rFonts w:ascii="Calibri" w:eastAsia="Calibri" w:hAnsi="Calibri" w:cs="Calibri"/>
          <w:sz w:val="28"/>
          <w:szCs w:val="28"/>
        </w:rPr>
        <w:t>Zasada równości kobiet i mężczyzn</w:t>
      </w:r>
      <w:bookmarkEnd w:id="18"/>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9" w:name="_Toc176941430"/>
      <w:r>
        <w:rPr>
          <w:rFonts w:ascii="Calibri" w:eastAsia="Calibri" w:hAnsi="Calibri" w:cs="Calibri"/>
          <w:sz w:val="28"/>
          <w:szCs w:val="28"/>
        </w:rPr>
        <w:t>Zasada równości szans i niedyskryminacji, w tym dostępności dla osób z niepełnosprawnościami</w:t>
      </w:r>
      <w:bookmarkEnd w:id="19"/>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Zgodność projektów z Kartą Praw Podstawowych Unii Europejskiej na etapie oceny wniosku należy rozumieć jako brak sprzeczności pomiędzy zapisami projektu 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20" w:name="_Toc176941431"/>
      <w:r>
        <w:rPr>
          <w:rFonts w:ascii="Calibri" w:eastAsia="Calibri" w:hAnsi="Calibri" w:cs="Calibri"/>
          <w:sz w:val="28"/>
          <w:szCs w:val="28"/>
        </w:rPr>
        <w:t>Zasada zrównoważonego rozwoju i DNSH</w:t>
      </w:r>
      <w:bookmarkEnd w:id="20"/>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19">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1" w:name="_Toc176941432"/>
      <w:r w:rsidR="00924E40">
        <w:rPr>
          <w:rFonts w:ascii="Calibri" w:eastAsia="Calibri" w:hAnsi="Calibri" w:cs="Calibri"/>
          <w:color w:val="FFFFFF"/>
          <w:sz w:val="48"/>
          <w:szCs w:val="48"/>
        </w:rPr>
        <w:t>Procedura wyboru projektów</w:t>
      </w:r>
      <w:bookmarkEnd w:id="21"/>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3"/>
      <w:r>
        <w:rPr>
          <w:rFonts w:ascii="Calibri" w:eastAsia="Calibri" w:hAnsi="Calibri" w:cs="Calibri"/>
          <w:sz w:val="28"/>
          <w:szCs w:val="28"/>
        </w:rPr>
        <w:t>Nabór i złożenie wniosku</w:t>
      </w:r>
      <w:bookmarkEnd w:id="22"/>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0">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Pr="003A4667" w:rsidRDefault="00924E40">
      <w:pPr>
        <w:numPr>
          <w:ilvl w:val="0"/>
          <w:numId w:val="25"/>
        </w:numPr>
        <w:pBdr>
          <w:top w:val="nil"/>
          <w:left w:val="nil"/>
          <w:bottom w:val="nil"/>
          <w:right w:val="nil"/>
          <w:between w:val="nil"/>
        </w:pBdr>
        <w:spacing w:after="120" w:line="288" w:lineRule="auto"/>
        <w:ind w:left="567" w:hanging="425"/>
        <w:rPr>
          <w:sz w:val="24"/>
          <w:szCs w:val="24"/>
        </w:rPr>
      </w:pPr>
      <w:r>
        <w:rPr>
          <w:color w:val="000000"/>
          <w:sz w:val="24"/>
          <w:szCs w:val="24"/>
        </w:rPr>
        <w:t xml:space="preserve">W ramach naboru Wnioskodawca może złożyć </w:t>
      </w:r>
      <w:r w:rsidRPr="003A4667">
        <w:rPr>
          <w:sz w:val="24"/>
          <w:szCs w:val="24"/>
        </w:rPr>
        <w:t xml:space="preserve">jeden </w:t>
      </w:r>
      <w:r w:rsidR="00627D7E" w:rsidRPr="003A4667">
        <w:rPr>
          <w:sz w:val="24"/>
          <w:szCs w:val="24"/>
        </w:rPr>
        <w:t>lub więcej wniosków</w:t>
      </w:r>
      <w:r w:rsidR="00627D7E" w:rsidRPr="003A4667">
        <w:rPr>
          <w:rStyle w:val="Odwoanieprzypisudolnego"/>
          <w:sz w:val="24"/>
          <w:szCs w:val="24"/>
        </w:rPr>
        <w:footnoteReference w:id="10"/>
      </w:r>
      <w:r w:rsidR="00627D7E" w:rsidRPr="003A4667">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3D04E40D"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w:t>
      </w:r>
      <w:r w:rsidR="00C16B4E">
        <w:rPr>
          <w:color w:val="000000"/>
          <w:sz w:val="24"/>
          <w:szCs w:val="24"/>
        </w:rPr>
        <w:t xml:space="preserve"> na stronie internetowej LGD.</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ePUAP.</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059A8751"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LKW, zawierające kryteria formalne oraz kryteria merytoryczne, stanowią Załącznik nr </w:t>
      </w:r>
      <w:r w:rsidR="002335C2">
        <w:rPr>
          <w:color w:val="000000"/>
          <w:sz w:val="24"/>
          <w:szCs w:val="24"/>
        </w:rPr>
        <w:t>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124F55">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4"/>
      <w:r>
        <w:rPr>
          <w:rFonts w:ascii="Calibri" w:eastAsia="Calibri" w:hAnsi="Calibri" w:cs="Calibri"/>
          <w:sz w:val="28"/>
          <w:szCs w:val="28"/>
        </w:rPr>
        <w:t>Ocena formalna i merytoryczna projektów – przeprowadzana przez LGD</w:t>
      </w:r>
      <w:bookmarkEnd w:id="23"/>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124F55">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5"/>
      <w:r>
        <w:rPr>
          <w:rFonts w:ascii="Calibri" w:eastAsia="Calibri" w:hAnsi="Calibri" w:cs="Calibri"/>
          <w:sz w:val="28"/>
          <w:szCs w:val="28"/>
        </w:rPr>
        <w:t>Weryfikacja poprawności procesu naboru i oceny wniosków przez LGD – przeprowadzana przez DOW</w:t>
      </w:r>
      <w:bookmarkEnd w:id="24"/>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76941436"/>
      <w:r>
        <w:rPr>
          <w:rFonts w:ascii="Calibri" w:eastAsia="Calibri" w:hAnsi="Calibri" w:cs="Calibri"/>
          <w:sz w:val="28"/>
          <w:szCs w:val="28"/>
        </w:rPr>
        <w:t>Ostateczna weryfikacja kwalifikowalności – przeprowadzana przez DWP</w:t>
      </w:r>
      <w:bookmarkEnd w:id="25"/>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6" w:name="_Toc176941437"/>
      <w:r>
        <w:rPr>
          <w:rFonts w:ascii="Calibri" w:eastAsia="Calibri" w:hAnsi="Calibri" w:cs="Calibri"/>
          <w:sz w:val="28"/>
          <w:szCs w:val="28"/>
        </w:rPr>
        <w:t>Wybór projektów do dofinansowania</w:t>
      </w:r>
      <w:bookmarkEnd w:id="26"/>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7" w:name="_Toc176941438"/>
      <w:r>
        <w:rPr>
          <w:rFonts w:ascii="Calibri" w:eastAsia="Calibri" w:hAnsi="Calibri" w:cs="Calibri"/>
          <w:sz w:val="28"/>
          <w:szCs w:val="28"/>
        </w:rPr>
        <w:t>Procedura odwoławcza</w:t>
      </w:r>
      <w:bookmarkEnd w:id="27"/>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93DB6A" w14:textId="77777777" w:rsidR="003461D4" w:rsidRPr="003461D4"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 xml:space="preserve">ZWW informuje Wnioskodawcę o odmowie udzielenia wsparcia, w przypadku, gdy nie są spełnione warunki udzielenia wsparcia na wdrażanie LSR. </w:t>
      </w:r>
    </w:p>
    <w:p w14:paraId="5B557634" w14:textId="77777777" w:rsidR="002070A9" w:rsidRPr="003461D4" w:rsidRDefault="00182415">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N</w:t>
      </w:r>
      <w:r w:rsidR="00026747" w:rsidRPr="003461D4">
        <w:rPr>
          <w:sz w:val="24"/>
          <w:szCs w:val="24"/>
        </w:rPr>
        <w:t>ie przewiduje się środków odwoławczych w przypadku</w:t>
      </w:r>
      <w:r w:rsidR="001E5671" w:rsidRPr="003461D4">
        <w:rPr>
          <w:sz w:val="24"/>
          <w:szCs w:val="24"/>
        </w:rPr>
        <w:t>,</w:t>
      </w:r>
      <w:r w:rsidR="00026747" w:rsidRPr="003461D4">
        <w:rPr>
          <w:sz w:val="24"/>
          <w:szCs w:val="24"/>
        </w:rPr>
        <w:t xml:space="preserve"> gdy </w:t>
      </w:r>
      <w:r w:rsidR="001E5671" w:rsidRPr="003461D4">
        <w:rPr>
          <w:sz w:val="24"/>
          <w:szCs w:val="24"/>
        </w:rPr>
        <w:t xml:space="preserve">ostateczna </w:t>
      </w:r>
      <w:r w:rsidR="00026747" w:rsidRPr="003461D4">
        <w:rPr>
          <w:sz w:val="24"/>
          <w:szCs w:val="24"/>
        </w:rPr>
        <w:t>weryfikacja kwalifikowalności</w:t>
      </w:r>
      <w:r w:rsidR="001E5671" w:rsidRPr="003461D4">
        <w:rPr>
          <w:sz w:val="24"/>
          <w:szCs w:val="24"/>
        </w:rPr>
        <w:t xml:space="preserve"> jest negatywna.</w:t>
      </w:r>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8" w:name="_Toc176941439"/>
      <w:r w:rsidR="00924E40">
        <w:rPr>
          <w:rFonts w:ascii="Calibri" w:eastAsia="Calibri" w:hAnsi="Calibri" w:cs="Calibri"/>
          <w:color w:val="FFFFFF"/>
          <w:sz w:val="48"/>
          <w:szCs w:val="48"/>
        </w:rPr>
        <w:t>Umowa o dofinansowanie</w:t>
      </w:r>
      <w:bookmarkEnd w:id="28"/>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41E8BCFE" w:rsidR="002070A9" w:rsidRDefault="003A4667">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Wnioskodawca otrzymał /nie otrzymał pomoc/y de minimis. W przypadku otrzymania pomocy de minimis należy przedłożyć kopie aktualnych zaświadczeń o wysokości otrzymanej pomocy de minimis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05793DDC" w:rsidR="002070A9" w:rsidRDefault="003A4667">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9" w:name="_Toc176941440"/>
      <w:r w:rsidR="00924E40">
        <w:rPr>
          <w:rFonts w:ascii="Calibri" w:eastAsia="Calibri" w:hAnsi="Calibri" w:cs="Calibri"/>
          <w:color w:val="FFFFFF"/>
          <w:sz w:val="48"/>
          <w:szCs w:val="48"/>
        </w:rPr>
        <w:t>Dokumentacja zezwalająca na realizację projektu</w:t>
      </w:r>
      <w:bookmarkEnd w:id="29"/>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69D9B131" w:rsidR="002070A9" w:rsidRDefault="00C16B4E">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0" w:name="_Toc176941441"/>
      <w:r w:rsidR="00924E40">
        <w:rPr>
          <w:rFonts w:ascii="Calibri" w:eastAsia="Calibri" w:hAnsi="Calibri" w:cs="Calibri"/>
          <w:color w:val="FFFFFF"/>
          <w:sz w:val="48"/>
          <w:szCs w:val="48"/>
        </w:rPr>
        <w:t>Zamówienia publiczne</w:t>
      </w:r>
      <w:bookmarkEnd w:id="30"/>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1">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Opis przedmiotu zamówienia nie powinien odnosić się do określonego wyrobu lub źródła lub znaków towarowych, patentów, rodzajów lub specyficznego 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1" w:name="_Toc176941442"/>
      <w:r w:rsidR="00924E40">
        <w:rPr>
          <w:rFonts w:ascii="Calibri" w:eastAsia="Calibri" w:hAnsi="Calibri" w:cs="Calibri"/>
          <w:color w:val="FFFFFF"/>
          <w:sz w:val="48"/>
          <w:szCs w:val="48"/>
        </w:rPr>
        <w:t>Zasady wypłaty dofinansowania i rozliczania projektów</w:t>
      </w:r>
      <w:bookmarkEnd w:id="31"/>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2" w:name="_Toc176941443"/>
      <w:r w:rsidR="00924E40">
        <w:rPr>
          <w:rFonts w:ascii="Calibri" w:eastAsia="Calibri" w:hAnsi="Calibri" w:cs="Calibri"/>
          <w:color w:val="FFFFFF"/>
          <w:sz w:val="48"/>
          <w:szCs w:val="48"/>
        </w:rPr>
        <w:t>Postanowienia końcowe</w:t>
      </w:r>
      <w:bookmarkEnd w:id="32"/>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3ECCBB75"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zmiany Regulaminu, LGD udostępnia na swojej stronie internetowej zmieniony Regulamin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1E2673C9"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3A4667">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3" w:name="_Toc176941444"/>
      <w:r w:rsidR="00924E40">
        <w:rPr>
          <w:rFonts w:ascii="Calibri" w:eastAsia="Calibri" w:hAnsi="Calibri" w:cs="Calibri"/>
          <w:color w:val="FFFFFF"/>
          <w:sz w:val="48"/>
          <w:szCs w:val="48"/>
        </w:rPr>
        <w:t>Załączniki</w:t>
      </w:r>
      <w:bookmarkEnd w:id="33"/>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3A4667">
        <w:rPr>
          <w:sz w:val="24"/>
          <w:szCs w:val="24"/>
        </w:rPr>
        <w:t>Kryteria oceny projektu</w:t>
      </w:r>
    </w:p>
    <w:p w14:paraId="5D5D8322" w14:textId="77777777"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3A4667">
        <w:rPr>
          <w:sz w:val="24"/>
          <w:szCs w:val="24"/>
        </w:rPr>
        <w:t>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2"/>
      <w:headerReference w:type="first" r:id="rId23"/>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1019C1" w16cex:dateUtc="2024-09-26T09:02:00Z"/>
  <w16cex:commentExtensible w16cex:durableId="49F0A1DF" w16cex:dateUtc="2024-09-26T09:03:00Z"/>
  <w16cex:commentExtensible w16cex:durableId="6F681ABE" w16cex:dateUtc="2024-09-26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CBFB7E" w16cid:durableId="347DB349"/>
  <w16cid:commentId w16cid:paraId="5EA03C8C" w16cid:durableId="6B94D312"/>
  <w16cid:commentId w16cid:paraId="459AF441" w16cid:durableId="2F1019C1"/>
  <w16cid:commentId w16cid:paraId="335013F7" w16cid:durableId="1E778B8E"/>
  <w16cid:commentId w16cid:paraId="3E54A812" w16cid:durableId="49F0A1DF"/>
  <w16cid:commentId w16cid:paraId="75231068" w16cid:durableId="354A4D23"/>
  <w16cid:commentId w16cid:paraId="62BA4D0B" w16cid:durableId="6F681A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6B5F" w14:textId="77777777" w:rsidR="00DB4058" w:rsidRDefault="00DB4058">
      <w:pPr>
        <w:spacing w:after="0" w:line="240" w:lineRule="auto"/>
      </w:pPr>
      <w:r>
        <w:separator/>
      </w:r>
    </w:p>
  </w:endnote>
  <w:endnote w:type="continuationSeparator" w:id="0">
    <w:p w14:paraId="49419BFC" w14:textId="77777777" w:rsidR="00DB4058" w:rsidRDefault="00DB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8E3C" w14:textId="2DB3116C" w:rsidR="00FA2EA6" w:rsidRDefault="00FA2EA6">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124F55">
      <w:rPr>
        <w:noProof/>
        <w:color w:val="000000"/>
      </w:rPr>
      <w:t>32</w:t>
    </w:r>
    <w:r>
      <w:rPr>
        <w:color w:val="000000"/>
      </w:rPr>
      <w:fldChar w:fldCharType="end"/>
    </w:r>
    <w:r>
      <w:rPr>
        <w:color w:val="000000"/>
      </w:rPr>
      <w:t xml:space="preserve"> </w:t>
    </w:r>
  </w:p>
  <w:p w14:paraId="4B2E5E0D" w14:textId="77777777" w:rsidR="00FA2EA6" w:rsidRDefault="00FA2E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BEAA" w14:textId="77777777" w:rsidR="00DB4058" w:rsidRDefault="00DB4058">
      <w:pPr>
        <w:spacing w:after="0" w:line="240" w:lineRule="auto"/>
      </w:pPr>
      <w:r>
        <w:separator/>
      </w:r>
    </w:p>
  </w:footnote>
  <w:footnote w:type="continuationSeparator" w:id="0">
    <w:p w14:paraId="79FB4F56" w14:textId="77777777" w:rsidR="00DB4058" w:rsidRDefault="00DB4058">
      <w:pPr>
        <w:spacing w:after="0" w:line="240" w:lineRule="auto"/>
      </w:pPr>
      <w:r>
        <w:continuationSeparator/>
      </w:r>
    </w:p>
  </w:footnote>
  <w:footnote w:id="1">
    <w:p w14:paraId="4857F8C5" w14:textId="77777777" w:rsidR="00FA2EA6" w:rsidRDefault="00FA2EA6">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FA2EA6" w:rsidRDefault="00FA2EA6">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530AB9A9" w:rsidR="00FA2EA6" w:rsidRDefault="00FA2EA6">
      <w:pPr>
        <w:pBdr>
          <w:top w:val="nil"/>
          <w:left w:val="nil"/>
          <w:bottom w:val="nil"/>
          <w:right w:val="nil"/>
          <w:between w:val="nil"/>
        </w:pBdr>
        <w:spacing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CD12D0">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FA2EA6" w:rsidRDefault="00FA2EA6">
      <w:pPr>
        <w:widowControl w:val="0"/>
        <w:pBdr>
          <w:top w:val="nil"/>
          <w:left w:val="nil"/>
          <w:bottom w:val="nil"/>
          <w:right w:val="nil"/>
          <w:between w:val="nil"/>
        </w:pBdr>
        <w:spacing w:after="60" w:line="288"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FA2EA6" w:rsidRPr="00F55222" w:rsidRDefault="00FA2EA6" w:rsidP="00F55222">
      <w:pPr>
        <w:pBdr>
          <w:top w:val="nil"/>
          <w:left w:val="nil"/>
          <w:bottom w:val="nil"/>
          <w:right w:val="nil"/>
          <w:between w:val="nil"/>
        </w:pBdr>
        <w:spacing w:after="60" w:line="288"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FA2EA6" w:rsidRDefault="00FA2EA6">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FA2EA6" w:rsidRDefault="00FA2EA6">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0225BEC7" w14:textId="77777777" w:rsidR="00124F55" w:rsidRDefault="00124F55" w:rsidP="00124F55">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7D149A14" w14:textId="77777777" w:rsidR="00124F55" w:rsidRDefault="00124F55" w:rsidP="00124F55">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4B988D13" w14:textId="7CB7EC7F" w:rsidR="00FA2EA6" w:rsidRPr="00CD12D0" w:rsidRDefault="00FA2EA6">
      <w:pPr>
        <w:pStyle w:val="Tekstprzypisudolnego"/>
        <w:rPr>
          <w:rFonts w:ascii="Calibri" w:hAnsi="Calibri"/>
          <w:color w:val="2E74B5" w:themeColor="accent1" w:themeShade="BF"/>
        </w:rPr>
      </w:pPr>
      <w:r w:rsidRPr="00CD12D0">
        <w:rPr>
          <w:rStyle w:val="Odwoanieprzypisudolnego"/>
          <w:rFonts w:ascii="Calibri" w:hAnsi="Calibri"/>
          <w:color w:val="2E74B5" w:themeColor="accent1" w:themeShade="BF"/>
        </w:rPr>
        <w:footnoteRef/>
      </w:r>
      <w:r w:rsidRPr="00CD12D0">
        <w:rPr>
          <w:rFonts w:ascii="Calibri" w:hAnsi="Calibri"/>
          <w:color w:val="2E74B5" w:themeColor="accent1" w:themeShade="BF"/>
        </w:rPr>
        <w:t xml:space="preserve"> </w:t>
      </w:r>
      <w:r w:rsidRPr="00CD12D0">
        <w:rPr>
          <w:rFonts w:ascii="Calibri" w:hAnsi="Calibri"/>
          <w:color w:val="2E74B5" w:themeColor="accent1" w:themeShade="BF"/>
          <w:sz w:val="24"/>
          <w:szCs w:val="24"/>
        </w:rPr>
        <w:t>Jeśli dotyczy.</w:t>
      </w:r>
    </w:p>
  </w:footnote>
  <w:footnote w:id="10">
    <w:p w14:paraId="4DB79ADF" w14:textId="77777777" w:rsidR="00FA2EA6" w:rsidRDefault="00FA2EA6">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FA2EA6" w:rsidRDefault="00FA2EA6">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F9A" w14:textId="77777777" w:rsidR="00FA2EA6" w:rsidRDefault="00FA2EA6">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D1"/>
    <w:multiLevelType w:val="hybridMultilevel"/>
    <w:tmpl w:val="09986608"/>
    <w:lvl w:ilvl="0" w:tplc="60ECA634">
      <w:start w:val="1"/>
      <w:numFmt w:val="lowerLetter"/>
      <w:lvlText w:val="%1)"/>
      <w:lvlJc w:val="left"/>
      <w:pPr>
        <w:ind w:left="720" w:hanging="360"/>
      </w:pPr>
      <w:rPr>
        <w:rFonts w:asciiTheme="minorHAnsi" w:hAnsiTheme="minorHAnsi"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CDB323A"/>
    <w:multiLevelType w:val="hybridMultilevel"/>
    <w:tmpl w:val="21F2A350"/>
    <w:lvl w:ilvl="0" w:tplc="60ECA634">
      <w:start w:val="1"/>
      <w:numFmt w:val="lowerLetter"/>
      <w:lvlText w:val="%1)"/>
      <w:lvlJc w:val="left"/>
      <w:pPr>
        <w:ind w:left="1080" w:hanging="360"/>
      </w:pPr>
      <w:rPr>
        <w:rFonts w:asciiTheme="minorHAnsi" w:hAnsiTheme="minorHAnsi" w:hint="default"/>
        <w:b w:val="0"/>
        <w:i w:val="0"/>
        <w:caps w:val="0"/>
        <w:strike w:val="0"/>
        <w:dstrike w:val="0"/>
        <w:vanish w:val="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9"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0"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1"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7"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7"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1"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3"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5"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7"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2"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3"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2"/>
  </w:num>
  <w:num w:numId="2">
    <w:abstractNumId w:val="41"/>
  </w:num>
  <w:num w:numId="3">
    <w:abstractNumId w:val="17"/>
  </w:num>
  <w:num w:numId="4">
    <w:abstractNumId w:val="22"/>
  </w:num>
  <w:num w:numId="5">
    <w:abstractNumId w:val="40"/>
  </w:num>
  <w:num w:numId="6">
    <w:abstractNumId w:val="57"/>
  </w:num>
  <w:num w:numId="7">
    <w:abstractNumId w:val="45"/>
  </w:num>
  <w:num w:numId="8">
    <w:abstractNumId w:val="32"/>
  </w:num>
  <w:num w:numId="9">
    <w:abstractNumId w:val="46"/>
  </w:num>
  <w:num w:numId="10">
    <w:abstractNumId w:val="67"/>
  </w:num>
  <w:num w:numId="11">
    <w:abstractNumId w:val="42"/>
  </w:num>
  <w:num w:numId="12">
    <w:abstractNumId w:val="44"/>
  </w:num>
  <w:num w:numId="13">
    <w:abstractNumId w:val="64"/>
  </w:num>
  <w:num w:numId="14">
    <w:abstractNumId w:val="48"/>
  </w:num>
  <w:num w:numId="15">
    <w:abstractNumId w:val="39"/>
  </w:num>
  <w:num w:numId="16">
    <w:abstractNumId w:val="60"/>
  </w:num>
  <w:num w:numId="17">
    <w:abstractNumId w:val="35"/>
  </w:num>
  <w:num w:numId="18">
    <w:abstractNumId w:val="18"/>
  </w:num>
  <w:num w:numId="19">
    <w:abstractNumId w:val="74"/>
  </w:num>
  <w:num w:numId="20">
    <w:abstractNumId w:val="4"/>
  </w:num>
  <w:num w:numId="21">
    <w:abstractNumId w:val="71"/>
  </w:num>
  <w:num w:numId="22">
    <w:abstractNumId w:val="65"/>
  </w:num>
  <w:num w:numId="23">
    <w:abstractNumId w:val="51"/>
  </w:num>
  <w:num w:numId="24">
    <w:abstractNumId w:val="5"/>
  </w:num>
  <w:num w:numId="25">
    <w:abstractNumId w:val="43"/>
  </w:num>
  <w:num w:numId="26">
    <w:abstractNumId w:val="19"/>
  </w:num>
  <w:num w:numId="27">
    <w:abstractNumId w:val="61"/>
  </w:num>
  <w:num w:numId="28">
    <w:abstractNumId w:val="24"/>
  </w:num>
  <w:num w:numId="29">
    <w:abstractNumId w:val="58"/>
  </w:num>
  <w:num w:numId="30">
    <w:abstractNumId w:val="6"/>
  </w:num>
  <w:num w:numId="31">
    <w:abstractNumId w:val="55"/>
  </w:num>
  <w:num w:numId="32">
    <w:abstractNumId w:val="9"/>
  </w:num>
  <w:num w:numId="33">
    <w:abstractNumId w:val="29"/>
  </w:num>
  <w:num w:numId="34">
    <w:abstractNumId w:val="10"/>
  </w:num>
  <w:num w:numId="35">
    <w:abstractNumId w:val="76"/>
  </w:num>
  <w:num w:numId="36">
    <w:abstractNumId w:val="52"/>
  </w:num>
  <w:num w:numId="37">
    <w:abstractNumId w:val="68"/>
  </w:num>
  <w:num w:numId="38">
    <w:abstractNumId w:val="66"/>
  </w:num>
  <w:num w:numId="39">
    <w:abstractNumId w:val="20"/>
  </w:num>
  <w:num w:numId="40">
    <w:abstractNumId w:val="33"/>
  </w:num>
  <w:num w:numId="41">
    <w:abstractNumId w:val="30"/>
  </w:num>
  <w:num w:numId="42">
    <w:abstractNumId w:val="26"/>
  </w:num>
  <w:num w:numId="43">
    <w:abstractNumId w:val="23"/>
  </w:num>
  <w:num w:numId="44">
    <w:abstractNumId w:val="14"/>
  </w:num>
  <w:num w:numId="45">
    <w:abstractNumId w:val="11"/>
  </w:num>
  <w:num w:numId="46">
    <w:abstractNumId w:val="63"/>
  </w:num>
  <w:num w:numId="47">
    <w:abstractNumId w:val="25"/>
  </w:num>
  <w:num w:numId="48">
    <w:abstractNumId w:val="34"/>
  </w:num>
  <w:num w:numId="49">
    <w:abstractNumId w:val="54"/>
  </w:num>
  <w:num w:numId="50">
    <w:abstractNumId w:val="12"/>
  </w:num>
  <w:num w:numId="51">
    <w:abstractNumId w:val="1"/>
  </w:num>
  <w:num w:numId="52">
    <w:abstractNumId w:val="31"/>
  </w:num>
  <w:num w:numId="53">
    <w:abstractNumId w:val="56"/>
  </w:num>
  <w:num w:numId="54">
    <w:abstractNumId w:val="69"/>
  </w:num>
  <w:num w:numId="55">
    <w:abstractNumId w:val="8"/>
  </w:num>
  <w:num w:numId="56">
    <w:abstractNumId w:val="73"/>
  </w:num>
  <w:num w:numId="57">
    <w:abstractNumId w:val="50"/>
  </w:num>
  <w:num w:numId="58">
    <w:abstractNumId w:val="49"/>
  </w:num>
  <w:num w:numId="59">
    <w:abstractNumId w:val="38"/>
  </w:num>
  <w:num w:numId="60">
    <w:abstractNumId w:val="13"/>
  </w:num>
  <w:num w:numId="61">
    <w:abstractNumId w:val="21"/>
  </w:num>
  <w:num w:numId="62">
    <w:abstractNumId w:val="2"/>
  </w:num>
  <w:num w:numId="63">
    <w:abstractNumId w:val="3"/>
  </w:num>
  <w:num w:numId="64">
    <w:abstractNumId w:val="27"/>
  </w:num>
  <w:num w:numId="65">
    <w:abstractNumId w:val="53"/>
  </w:num>
  <w:num w:numId="66">
    <w:abstractNumId w:val="7"/>
  </w:num>
  <w:num w:numId="67">
    <w:abstractNumId w:val="28"/>
  </w:num>
  <w:num w:numId="68">
    <w:abstractNumId w:val="59"/>
  </w:num>
  <w:num w:numId="69">
    <w:abstractNumId w:val="62"/>
  </w:num>
  <w:num w:numId="70">
    <w:abstractNumId w:val="47"/>
  </w:num>
  <w:num w:numId="71">
    <w:abstractNumId w:val="70"/>
  </w:num>
  <w:num w:numId="72">
    <w:abstractNumId w:val="75"/>
  </w:num>
  <w:num w:numId="73">
    <w:abstractNumId w:val="16"/>
  </w:num>
  <w:num w:numId="74">
    <w:abstractNumId w:val="37"/>
  </w:num>
  <w:num w:numId="75">
    <w:abstractNumId w:val="36"/>
  </w:num>
  <w:num w:numId="76">
    <w:abstractNumId w:val="0"/>
  </w:num>
  <w:num w:numId="77">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26747"/>
    <w:rsid w:val="0006498E"/>
    <w:rsid w:val="000675CD"/>
    <w:rsid w:val="00070B37"/>
    <w:rsid w:val="00075A9F"/>
    <w:rsid w:val="00081771"/>
    <w:rsid w:val="00096DE4"/>
    <w:rsid w:val="000A1839"/>
    <w:rsid w:val="000A6820"/>
    <w:rsid w:val="000B538C"/>
    <w:rsid w:val="000D0EFE"/>
    <w:rsid w:val="001041CC"/>
    <w:rsid w:val="00122214"/>
    <w:rsid w:val="001226A7"/>
    <w:rsid w:val="00124F55"/>
    <w:rsid w:val="001355C3"/>
    <w:rsid w:val="00143EC2"/>
    <w:rsid w:val="00144F02"/>
    <w:rsid w:val="00150DB0"/>
    <w:rsid w:val="00151DAF"/>
    <w:rsid w:val="00162CE7"/>
    <w:rsid w:val="00164806"/>
    <w:rsid w:val="0017335D"/>
    <w:rsid w:val="00182415"/>
    <w:rsid w:val="001B4934"/>
    <w:rsid w:val="001E5671"/>
    <w:rsid w:val="001E7DC2"/>
    <w:rsid w:val="001F2200"/>
    <w:rsid w:val="001F3BFB"/>
    <w:rsid w:val="001F4DDE"/>
    <w:rsid w:val="001F5BB6"/>
    <w:rsid w:val="002070A9"/>
    <w:rsid w:val="00207449"/>
    <w:rsid w:val="00216BE1"/>
    <w:rsid w:val="002335C2"/>
    <w:rsid w:val="00250953"/>
    <w:rsid w:val="00270F74"/>
    <w:rsid w:val="0028233A"/>
    <w:rsid w:val="002855F8"/>
    <w:rsid w:val="00286856"/>
    <w:rsid w:val="0029127E"/>
    <w:rsid w:val="0029639B"/>
    <w:rsid w:val="00297C89"/>
    <w:rsid w:val="002A07B0"/>
    <w:rsid w:val="002D203A"/>
    <w:rsid w:val="00304D25"/>
    <w:rsid w:val="003461D4"/>
    <w:rsid w:val="00361E8E"/>
    <w:rsid w:val="003921F5"/>
    <w:rsid w:val="003A4667"/>
    <w:rsid w:val="003B4ED5"/>
    <w:rsid w:val="003C3B8D"/>
    <w:rsid w:val="003D3F44"/>
    <w:rsid w:val="003E5847"/>
    <w:rsid w:val="003E6F34"/>
    <w:rsid w:val="003F657D"/>
    <w:rsid w:val="004358B9"/>
    <w:rsid w:val="00451B29"/>
    <w:rsid w:val="0047583F"/>
    <w:rsid w:val="00476046"/>
    <w:rsid w:val="004A17C8"/>
    <w:rsid w:val="004D241E"/>
    <w:rsid w:val="004F4545"/>
    <w:rsid w:val="00517BCF"/>
    <w:rsid w:val="00552905"/>
    <w:rsid w:val="0057363F"/>
    <w:rsid w:val="00583D15"/>
    <w:rsid w:val="00593888"/>
    <w:rsid w:val="005A3D38"/>
    <w:rsid w:val="005C2011"/>
    <w:rsid w:val="005D4ABA"/>
    <w:rsid w:val="00611B5C"/>
    <w:rsid w:val="0061548B"/>
    <w:rsid w:val="00616386"/>
    <w:rsid w:val="00627D7E"/>
    <w:rsid w:val="006442AE"/>
    <w:rsid w:val="00646B44"/>
    <w:rsid w:val="0064700B"/>
    <w:rsid w:val="00673C7A"/>
    <w:rsid w:val="006906EC"/>
    <w:rsid w:val="00696AB3"/>
    <w:rsid w:val="006B270E"/>
    <w:rsid w:val="006B7EF9"/>
    <w:rsid w:val="006C25F7"/>
    <w:rsid w:val="006C7970"/>
    <w:rsid w:val="0076416B"/>
    <w:rsid w:val="0076579E"/>
    <w:rsid w:val="00765C58"/>
    <w:rsid w:val="00766386"/>
    <w:rsid w:val="00771681"/>
    <w:rsid w:val="00774D0D"/>
    <w:rsid w:val="007918C0"/>
    <w:rsid w:val="00793ABE"/>
    <w:rsid w:val="00795D4F"/>
    <w:rsid w:val="007D42D8"/>
    <w:rsid w:val="007E0F2B"/>
    <w:rsid w:val="007F11D5"/>
    <w:rsid w:val="00803E19"/>
    <w:rsid w:val="0086699B"/>
    <w:rsid w:val="008750FD"/>
    <w:rsid w:val="00886CD9"/>
    <w:rsid w:val="00892FA3"/>
    <w:rsid w:val="008961EB"/>
    <w:rsid w:val="008A7791"/>
    <w:rsid w:val="008B2F67"/>
    <w:rsid w:val="00924B74"/>
    <w:rsid w:val="00924E40"/>
    <w:rsid w:val="00940842"/>
    <w:rsid w:val="00941E35"/>
    <w:rsid w:val="00951FF8"/>
    <w:rsid w:val="009701D3"/>
    <w:rsid w:val="00980D2B"/>
    <w:rsid w:val="009975E6"/>
    <w:rsid w:val="00997F4D"/>
    <w:rsid w:val="009A2F41"/>
    <w:rsid w:val="009A5872"/>
    <w:rsid w:val="009A709A"/>
    <w:rsid w:val="009B6923"/>
    <w:rsid w:val="009E4D69"/>
    <w:rsid w:val="00A0654D"/>
    <w:rsid w:val="00A46B9B"/>
    <w:rsid w:val="00A618A2"/>
    <w:rsid w:val="00A623C6"/>
    <w:rsid w:val="00A7707C"/>
    <w:rsid w:val="00A8554F"/>
    <w:rsid w:val="00A87167"/>
    <w:rsid w:val="00AA75CE"/>
    <w:rsid w:val="00AB57B0"/>
    <w:rsid w:val="00AF1A53"/>
    <w:rsid w:val="00B43472"/>
    <w:rsid w:val="00B62119"/>
    <w:rsid w:val="00B83753"/>
    <w:rsid w:val="00B9037B"/>
    <w:rsid w:val="00BC12CA"/>
    <w:rsid w:val="00BE6A05"/>
    <w:rsid w:val="00BE78DC"/>
    <w:rsid w:val="00BF3527"/>
    <w:rsid w:val="00BF5126"/>
    <w:rsid w:val="00C12D04"/>
    <w:rsid w:val="00C16B4E"/>
    <w:rsid w:val="00C20F8F"/>
    <w:rsid w:val="00C23A87"/>
    <w:rsid w:val="00C240C2"/>
    <w:rsid w:val="00C30567"/>
    <w:rsid w:val="00C414BA"/>
    <w:rsid w:val="00C41B5F"/>
    <w:rsid w:val="00C42AC0"/>
    <w:rsid w:val="00C50229"/>
    <w:rsid w:val="00C5636B"/>
    <w:rsid w:val="00C603F1"/>
    <w:rsid w:val="00C75598"/>
    <w:rsid w:val="00C80E35"/>
    <w:rsid w:val="00C87FA6"/>
    <w:rsid w:val="00CA71C4"/>
    <w:rsid w:val="00CC6B38"/>
    <w:rsid w:val="00CD12D0"/>
    <w:rsid w:val="00CE203A"/>
    <w:rsid w:val="00CF6610"/>
    <w:rsid w:val="00D223B2"/>
    <w:rsid w:val="00D26A1A"/>
    <w:rsid w:val="00D34E43"/>
    <w:rsid w:val="00D37F8F"/>
    <w:rsid w:val="00D855D6"/>
    <w:rsid w:val="00D908FD"/>
    <w:rsid w:val="00DA53EF"/>
    <w:rsid w:val="00DB4058"/>
    <w:rsid w:val="00DC3743"/>
    <w:rsid w:val="00DE6292"/>
    <w:rsid w:val="00DF5E6C"/>
    <w:rsid w:val="00E02E97"/>
    <w:rsid w:val="00E03B2C"/>
    <w:rsid w:val="00E1438D"/>
    <w:rsid w:val="00E203C4"/>
    <w:rsid w:val="00E251C9"/>
    <w:rsid w:val="00E25B66"/>
    <w:rsid w:val="00E26433"/>
    <w:rsid w:val="00E36C4D"/>
    <w:rsid w:val="00E44A96"/>
    <w:rsid w:val="00E536D6"/>
    <w:rsid w:val="00E75C6C"/>
    <w:rsid w:val="00E80584"/>
    <w:rsid w:val="00E8198B"/>
    <w:rsid w:val="00EA1A23"/>
    <w:rsid w:val="00EE5A50"/>
    <w:rsid w:val="00F103D2"/>
    <w:rsid w:val="00F15AC6"/>
    <w:rsid w:val="00F166FE"/>
    <w:rsid w:val="00F22096"/>
    <w:rsid w:val="00F37B5C"/>
    <w:rsid w:val="00F402F4"/>
    <w:rsid w:val="00F50483"/>
    <w:rsid w:val="00F55222"/>
    <w:rsid w:val="00FA0392"/>
    <w:rsid w:val="00FA2EA6"/>
    <w:rsid w:val="00FB704B"/>
    <w:rsid w:val="00FD0484"/>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1548B"/>
    <w:rPr>
      <w:color w:val="605E5C"/>
      <w:shd w:val="clear" w:color="auto" w:fill="E1DFDD"/>
    </w:rPr>
  </w:style>
  <w:style w:type="character" w:customStyle="1" w:styleId="UnresolvedMention">
    <w:name w:val="Unresolved Mention"/>
    <w:basedOn w:val="Domylnaczcionkaakapitu"/>
    <w:uiPriority w:val="99"/>
    <w:semiHidden/>
    <w:unhideWhenUsed/>
    <w:rsid w:val="0030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http://www.lgd.pleszew.pl" TargetMode="External"/><Relationship Id="rId3" Type="http://schemas.openxmlformats.org/officeDocument/2006/relationships/numbering" Target="numbering.xml"/><Relationship Id="rId21" Type="http://schemas.openxmlformats.org/officeDocument/2006/relationships/hyperlink" Target="https://www.gov.pl/web/uzp/pakiet-dobrych-praktyk-w-zakresie-spolecznych-i-srodowiskowych-kryteriow-oceny-ofert"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swdp@pleszew.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https://lsi2021.wielkopol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s://pl.wikipedia.org/wiki/Prawa_cz%C5%82owieka" TargetMode="External"/><Relationship Id="rId19" Type="http://schemas.openxmlformats.org/officeDocument/2006/relationships/hyperlink" Target="mailto:koordynator.kp@umww.pl" TargetMode="Externa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033A90-F0E9-4497-BD80-D8EC359C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53</Pages>
  <Words>14962</Words>
  <Characters>89776</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Swiecka Izabela</cp:lastModifiedBy>
  <cp:revision>21</cp:revision>
  <dcterms:created xsi:type="dcterms:W3CDTF">2024-09-11T08:12:00Z</dcterms:created>
  <dcterms:modified xsi:type="dcterms:W3CDTF">2024-10-07T08:12:00Z</dcterms:modified>
</cp:coreProperties>
</file>